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vnd.openxmlformats-officedocument.wordprocessingml.footer+xml"/>
  <Default Extension="jpg" ContentType="image/jpeg"/>
  <Override PartName="/word/settings.xml" ContentType="application/vnd.openxmlformats-officedocument.wordprocessingml.setting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customXml/item1.xml" ContentType="application/xml"/>
  <Override PartName="/customXml/itemProps4.xml" ContentType="application/vnd.openxmlformats-officedocument.customXmlProperties+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Props1.xml" ContentType="application/vnd.openxmlformats-officedocument.customXmlProperties+xml"/>
  <Override PartName="/customXml/item4.xml" ContentType="application/xml"/>
  <Override PartName="/customXml/item2.xml" ContentType="application/xml"/>
  <Override PartName="/customXml/item5.xml" ContentType="application/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1D34B056" Type="http://schemas.openxmlformats.org/officeDocument/2006/relationships/officeDocument" Target="word/document.xml"/><Relationship Id="REC2D193D" Type="http://schemas.openxmlformats.org/package/2006/relationships/metadata/core-properties" Target="docProps/core.xml"/><Relationship Id="rId1" Type="http://schemas.openxmlformats.org/officeDocument/2006/relationships/custom-properties" Target="docProps/custom.xml"/></Relationships>
</file>

<file path=word/document.xml><?xml version="1.0" encoding="utf-8"?>
<w:document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body>
    <w:p>
      <w:pPr>
        <w:tabs>
          <w:tab w:val="center" w:pos="5188"/>
          <w:tab w:val="right" w:pos="10349"/>
        </w:tabs>
        <w:spacing w:before="0" w:after="0" w:line="259" w:lineRule="auto"/>
        <w:ind w:left="0" w:right="-483" w:firstLine="0"/>
        <w:jc w:val="left"/>
      </w:pPr>
      <w:r>
        <w:rPr>
          <w:rFonts w:cs="Calibri" w:hAnsi="Calibri" w:eastAsia="Calibri" w:ascii="Calibri"/>
          <w:sz w:val="22"/>
        </w:rPr>
        <w:t xml:space="preserve">	</w:t>
      </w:r>
      <w:r>
        <w:rPr>
          <w:rFonts w:cs="Calibri" w:hAnsi="Calibri" w:eastAsia="Calibri" w:ascii="Calibri"/>
          <w:u w:val="single" w:color="000000"/>
        </w:rPr>
        <w:t xml:space="preserve">United Nations Development Program</w:t>
      </w:r>
      <w:r>
        <w:rPr>
          <w:rFonts w:cs="Times New Roman" w:hAnsi="Times New Roman" w:eastAsia="Times New Roman" w:ascii="Times New Roman"/>
        </w:rPr>
        <w:t xml:space="preserve"> </w:t>
      </w:r>
      <w:r>
        <w:rPr>
          <w:rFonts w:cs="Calibri" w:hAnsi="Calibri" w:eastAsia="Calibri" w:ascii="Calibri"/>
        </w:rPr>
        <w:t xml:space="preserve"> 	</w:t>
      </w:r>
      <w:r>
        <w:drawing>
          <wp:inline distT="0" distB="0" distL="0" distR="0">
            <wp:extent cx="466344" cy="952500"/>
            <wp:effectExtent l="0" t="0" r="0" b="0"/>
            <wp:docPr id="82694" name="Picture 82694"/>
            <wp:cNvGraphicFramePr/>
            <a:graphic>
              <a:graphicData uri="http://schemas.openxmlformats.org/drawingml/2006/picture">
                <pic:pic xmlns:pic="http://schemas.openxmlformats.org/drawingml/2006/picture">
                  <pic:nvPicPr>
                    <pic:cNvPr id="82694" name="Picture 82694"/>
                    <pic:cNvPicPr/>
                  </pic:nvPicPr>
                  <pic:blipFill>
                    <a:blip r:embed="rId13"/>
                    <a:stretch>
                      <a:fillRect/>
                    </a:stretch>
                  </pic:blipFill>
                  <pic:spPr>
                    <a:xfrm>
                      <a:off x="0" y="0"/>
                      <a:ext cx="466344" cy="952500"/>
                    </a:xfrm>
                    <a:prstGeom prst="rect">
                      <a:avLst/>
                    </a:prstGeom>
                  </pic:spPr>
                </pic:pic>
              </a:graphicData>
            </a:graphic>
          </wp:inline>
        </w:drawing>
      </w:r>
    </w:p>
    <w:p>
      <w:pPr>
        <w:spacing w:before="0" w:after="0" w:line="259" w:lineRule="auto"/>
        <w:ind w:left="972" w:right="0" w:firstLine="0"/>
        <w:jc w:val="left"/>
      </w:pPr>
      <w:r>
        <w:rPr>
          <w:rFonts w:cs="Calibri" w:hAnsi="Calibri" w:eastAsia="Calibri" w:ascii="Calibri"/>
          <w:sz w:val="20"/>
        </w:rPr>
        <w:t xml:space="preserve"> </w:t>
      </w:r>
    </w:p>
    <w:p>
      <w:pPr>
        <w:spacing w:before="0" w:after="0" w:line="259" w:lineRule="auto"/>
        <w:ind w:left="720" w:right="0" w:firstLine="0"/>
        <w:jc w:val="center"/>
      </w:pPr>
      <w:r>
        <w:rPr>
          <w:sz w:val="22"/>
        </w:rPr>
        <w:t xml:space="preserve">Country</w:t>
      </w:r>
      <w:r>
        <w:rPr>
          <w:rFonts w:cs="Calibri" w:hAnsi="Calibri" w:eastAsia="Calibri" w:ascii="Calibri"/>
          <w:sz w:val="22"/>
        </w:rPr>
        <w:t xml:space="preserve">: Malawi </w:t>
      </w:r>
    </w:p>
    <w:p>
      <w:pPr>
        <w:spacing w:before="0" w:after="18" w:line="259" w:lineRule="auto"/>
        <w:ind w:left="763" w:right="0" w:firstLine="0"/>
        <w:jc w:val="center"/>
      </w:pPr>
      <w:r>
        <w:rPr>
          <w:rFonts w:cs="Calibri" w:hAnsi="Calibri" w:eastAsia="Calibri" w:ascii="Calibri"/>
          <w:sz w:val="20"/>
        </w:rPr>
        <w:t xml:space="preserve"> </w:t>
      </w:r>
    </w:p>
    <w:p>
      <w:pPr>
        <w:spacing w:before="0" w:after="0" w:line="259" w:lineRule="auto"/>
        <w:ind w:left="729" w:right="5"/>
        <w:jc w:val="center"/>
      </w:pPr>
      <w:r>
        <w:rPr>
          <w:rFonts w:cs="Calibri" w:hAnsi="Calibri" w:eastAsia="Calibri" w:ascii="Calibri"/>
          <w:u w:val="single" w:color="000000"/>
        </w:rPr>
        <w:t xml:space="preserve">Project Support Document</w:t>
      </w:r>
      <w:r>
        <w:rPr>
          <w:rFonts w:cs="Calibri" w:hAnsi="Calibri" w:eastAsia="Calibri" w:ascii="Calibri"/>
        </w:rPr>
        <w:t xml:space="preserve">  </w:t>
      </w:r>
    </w:p>
    <w:p>
      <w:pPr>
        <w:spacing w:before="0" w:after="0" w:line="259" w:lineRule="auto"/>
        <w:ind w:left="772" w:right="0" w:firstLine="0"/>
        <w:jc w:val="center"/>
      </w:pPr>
      <w:r>
        <w:rPr>
          <w:rFonts w:cs="Calibri" w:hAnsi="Calibri" w:eastAsia="Calibri" w:ascii="Calibri"/>
        </w:rPr>
        <w:t xml:space="preserve"> </w:t>
      </w:r>
    </w:p>
    <w:p>
      <w:pPr>
        <w:spacing w:before="0" w:after="0" w:line="259" w:lineRule="auto"/>
        <w:ind w:left="729" w:right="0"/>
        <w:jc w:val="center"/>
      </w:pPr>
      <w:r>
        <w:rPr>
          <w:rFonts w:cs="Calibri" w:hAnsi="Calibri" w:eastAsia="Calibri" w:ascii="Calibri"/>
          <w:u w:val="single" w:color="000000"/>
        </w:rPr>
        <w:t xml:space="preserve">Gender Mainstreaming in the Democratic Governance Sector in Malawi</w:t>
      </w:r>
      <w:r>
        <w:rPr>
          <w:rFonts w:cs="Calibri" w:hAnsi="Calibri" w:eastAsia="Calibri" w:ascii="Calibri"/>
        </w:rPr>
        <w:t xml:space="preserve"> </w:t>
      </w:r>
    </w:p>
    <w:p>
      <w:pPr>
        <w:spacing w:before="0" w:after="0" w:line="259" w:lineRule="auto"/>
        <w:ind w:left="972" w:right="0" w:firstLine="0"/>
        <w:jc w:val="left"/>
      </w:pPr>
      <w:r>
        <w:rPr>
          <w:rFonts w:cs="Calibri" w:hAnsi="Calibri" w:eastAsia="Calibri" w:ascii="Calibri"/>
          <w:sz w:val="20"/>
        </w:rPr>
        <w:t xml:space="preserve"> </w:t>
      </w:r>
    </w:p>
    <w:tbl>
      <w:tblPr>
        <w:tblStyle w:val="TableGrid"/>
        <w:tblW w:w="8685" w:type="dxa"/>
        <w:tblInd w:w="972" w:type="dxa"/>
        <w:tblCellMar>
          <w:top w:w="0" w:type="dxa"/>
          <w:left w:w="0" w:type="dxa"/>
          <w:bottom w:w="0" w:type="dxa"/>
          <w:right w:w="0" w:type="dxa"/>
        </w:tblCellMar>
      </w:tblPr>
      <w:tblGrid>
        <w:gridCol w:w="3600"/>
        <w:gridCol w:w="5085"/>
      </w:tblGrid>
      <w:tr>
        <w:trPr>
          <w:trHeight w:val="457" w:hRule="atLeast"/>
        </w:trPr>
        <w:tc>
          <w:tcPr>
            <w:tcW w:w="3600" w:type="dxa"/>
            <w:tcBorders>
              <w:top w:val="nil"/>
              <w:left w:val="nil"/>
              <w:bottom w:val="nil"/>
              <w:right w:val="nil"/>
            </w:tcBorders>
            <w:vAlign w:val="top"/>
          </w:tcPr>
          <w:p>
            <w:pPr>
              <w:spacing w:before="0" w:after="0" w:line="259" w:lineRule="auto"/>
              <w:ind w:left="0" w:right="0" w:firstLine="0"/>
              <w:jc w:val="left"/>
            </w:pPr>
            <w:r>
              <w:rPr>
                <w:rFonts w:cs="Calibri" w:hAnsi="Calibri" w:eastAsia="Calibri" w:ascii="Calibri"/>
                <w:sz w:val="20"/>
              </w:rPr>
              <w:t xml:space="preserve">UNDAF Outcome (s) </w:t>
            </w:r>
          </w:p>
        </w:tc>
        <w:tc>
          <w:tcPr>
            <w:tcW w:w="5085" w:type="dxa"/>
            <w:tcBorders>
              <w:top w:val="nil"/>
              <w:left w:val="nil"/>
              <w:bottom w:val="nil"/>
              <w:right w:val="nil"/>
            </w:tcBorders>
            <w:vAlign w:val="top"/>
          </w:tcPr>
          <w:p>
            <w:pPr>
              <w:spacing w:before="0" w:after="0" w:line="259" w:lineRule="auto"/>
              <w:ind w:left="0" w:right="0" w:firstLine="0"/>
            </w:pPr>
            <w:r>
              <w:rPr>
                <w:rFonts w:cs="Calibri" w:hAnsi="Calibri" w:eastAsia="Calibri" w:ascii="Calibri"/>
                <w:sz w:val="20"/>
              </w:rPr>
              <w:t xml:space="preserve">Outcome 5: </w:t>
            </w:r>
            <w:r>
              <w:rPr>
                <w:sz w:val="20"/>
              </w:rPr>
              <w:t xml:space="preserve">Good governance, gender equality and rights based approach to development enhanced by 2011 </w:t>
            </w:r>
          </w:p>
        </w:tc>
      </w:tr>
      <w:tr>
        <w:trPr>
          <w:trHeight w:val="245" w:hRule="atLeast"/>
        </w:trPr>
        <w:tc>
          <w:tcPr>
            <w:tcW w:w="3600" w:type="dxa"/>
            <w:tcBorders>
              <w:top w:val="nil"/>
              <w:left w:val="nil"/>
              <w:bottom w:val="nil"/>
              <w:right w:val="nil"/>
            </w:tcBorders>
            <w:vAlign w:val="top"/>
          </w:tcPr>
          <w:p>
            <w:pPr>
              <w:spacing w:before="0" w:after="0" w:line="259" w:lineRule="auto"/>
              <w:ind w:left="0" w:right="0" w:firstLine="0"/>
              <w:jc w:val="left"/>
            </w:pPr>
            <w:r>
              <w:rPr>
                <w:rFonts w:cs="Calibri" w:hAnsi="Calibri" w:eastAsia="Calibri" w:ascii="Calibri"/>
                <w:sz w:val="20"/>
              </w:rPr>
              <w:t xml:space="preserve"> </w:t>
            </w:r>
          </w:p>
        </w:tc>
        <w:tc>
          <w:tcPr>
            <w:tcW w:w="5085" w:type="dxa"/>
            <w:tcBorders>
              <w:top w:val="nil"/>
              <w:left w:val="nil"/>
              <w:bottom w:val="nil"/>
              <w:right w:val="nil"/>
            </w:tcBorders>
            <w:vAlign w:val="top"/>
          </w:tcPr>
          <w:p>
            <w:pPr>
              <w:spacing w:before="0" w:after="0" w:line="259" w:lineRule="auto"/>
              <w:ind w:left="0" w:right="0" w:firstLine="0"/>
              <w:jc w:val="left"/>
            </w:pPr>
            <w:r>
              <w:rPr>
                <w:rFonts w:cs="Calibri" w:hAnsi="Calibri" w:eastAsia="Calibri" w:ascii="Calibri"/>
                <w:sz w:val="20"/>
              </w:rPr>
              <w:t xml:space="preserve"> </w:t>
            </w:r>
          </w:p>
        </w:tc>
      </w:tr>
      <w:tr>
        <w:trPr>
          <w:trHeight w:val="487" w:hRule="atLeast"/>
        </w:trPr>
        <w:tc>
          <w:tcPr>
            <w:tcW w:w="3600" w:type="dxa"/>
            <w:tcBorders>
              <w:top w:val="nil"/>
              <w:left w:val="nil"/>
              <w:bottom w:val="nil"/>
              <w:right w:val="nil"/>
            </w:tcBorders>
            <w:vAlign w:val="top"/>
          </w:tcPr>
          <w:p>
            <w:pPr>
              <w:spacing w:before="0" w:after="0" w:line="259" w:lineRule="auto"/>
              <w:ind w:left="0" w:right="0" w:firstLine="0"/>
              <w:jc w:val="left"/>
            </w:pPr>
            <w:r>
              <w:rPr>
                <w:sz w:val="20"/>
              </w:rPr>
              <w:t xml:space="preserve"> </w:t>
            </w:r>
          </w:p>
        </w:tc>
        <w:tc>
          <w:tcPr>
            <w:tcW w:w="5085" w:type="dxa"/>
            <w:tcBorders>
              <w:top w:val="nil"/>
              <w:left w:val="nil"/>
              <w:bottom w:val="nil"/>
              <w:right w:val="nil"/>
            </w:tcBorders>
            <w:vAlign w:val="top"/>
          </w:tcPr>
          <w:p>
            <w:pPr>
              <w:spacing w:before="0" w:after="0" w:line="259" w:lineRule="auto"/>
              <w:ind w:left="0" w:right="0" w:firstLine="0"/>
            </w:pPr>
            <w:r>
              <w:rPr>
                <w:rFonts w:cs="Calibri" w:hAnsi="Calibri" w:eastAsia="Calibri" w:ascii="Calibri"/>
                <w:sz w:val="20"/>
              </w:rPr>
              <w:t xml:space="preserve">Output 5.3.1</w:t>
            </w:r>
            <w:r>
              <w:rPr>
                <w:sz w:val="20"/>
              </w:rPr>
              <w:t xml:space="preserve"> Strengthened legislative framework for gender equality and equity </w:t>
            </w:r>
          </w:p>
        </w:tc>
      </w:tr>
      <w:tr>
        <w:trPr>
          <w:trHeight w:val="732" w:hRule="atLeast"/>
        </w:trPr>
        <w:tc>
          <w:tcPr>
            <w:tcW w:w="3600" w:type="dxa"/>
            <w:tcBorders>
              <w:top w:val="nil"/>
              <w:left w:val="nil"/>
              <w:bottom w:val="nil"/>
              <w:right w:val="nil"/>
            </w:tcBorders>
            <w:vAlign w:val="top"/>
          </w:tcPr>
          <w:p>
            <w:pPr>
              <w:spacing w:before="0" w:after="225" w:line="259" w:lineRule="auto"/>
              <w:ind w:left="0" w:right="0" w:firstLine="0"/>
              <w:jc w:val="left"/>
            </w:pPr>
            <w:r>
              <w:rPr>
                <w:rFonts w:cs="Calibri" w:hAnsi="Calibri" w:eastAsia="Calibri" w:ascii="Calibri"/>
                <w:sz w:val="20"/>
              </w:rPr>
              <w:t xml:space="preserve"> </w:t>
            </w:r>
          </w:p>
          <w:p>
            <w:pPr>
              <w:spacing w:before="0" w:after="0" w:line="259" w:lineRule="auto"/>
              <w:ind w:left="0" w:right="0" w:firstLine="0"/>
              <w:jc w:val="left"/>
            </w:pPr>
            <w:r>
              <w:rPr>
                <w:sz w:val="20"/>
              </w:rPr>
              <w:t xml:space="preserve"> </w:t>
            </w:r>
          </w:p>
        </w:tc>
        <w:tc>
          <w:tcPr>
            <w:tcW w:w="5085" w:type="dxa"/>
            <w:tcBorders>
              <w:top w:val="nil"/>
              <w:left w:val="nil"/>
              <w:bottom w:val="nil"/>
              <w:right w:val="nil"/>
            </w:tcBorders>
            <w:vAlign w:val="top"/>
          </w:tcPr>
          <w:p>
            <w:pPr>
              <w:spacing w:before="0" w:after="0" w:line="259" w:lineRule="auto"/>
              <w:ind w:left="0" w:right="0" w:firstLine="0"/>
            </w:pPr>
            <w:r>
              <w:rPr>
                <w:rFonts w:cs="Calibri" w:hAnsi="Calibri" w:eastAsia="Calibri" w:ascii="Calibri"/>
                <w:sz w:val="20"/>
              </w:rPr>
              <w:t xml:space="preserve">Output 5.3.3 </w:t>
            </w:r>
            <w:r>
              <w:rPr>
                <w:sz w:val="20"/>
              </w:rPr>
              <w:t xml:space="preserve">Capacity for gender analysis and gender mainstreaming strengthened </w:t>
            </w:r>
          </w:p>
        </w:tc>
      </w:tr>
      <w:tr>
        <w:trPr>
          <w:trHeight w:val="853" w:hRule="atLeast"/>
        </w:trPr>
        <w:tc>
          <w:tcPr>
            <w:tcW w:w="3600" w:type="dxa"/>
            <w:tcBorders>
              <w:top w:val="nil"/>
              <w:left w:val="nil"/>
              <w:bottom w:val="nil"/>
              <w:right w:val="nil"/>
            </w:tcBorders>
            <w:vAlign w:val="top"/>
          </w:tcPr>
          <w:p>
            <w:pPr>
              <w:spacing w:before="0" w:after="347" w:line="259" w:lineRule="auto"/>
              <w:ind w:left="0" w:right="0" w:firstLine="0"/>
              <w:jc w:val="left"/>
            </w:pPr>
            <w:r>
              <w:rPr>
                <w:rFonts w:cs="Calibri" w:hAnsi="Calibri" w:eastAsia="Calibri" w:ascii="Calibri"/>
                <w:sz w:val="20"/>
              </w:rPr>
              <w:t xml:space="preserve">CPAP Expected Outcome (s</w:t>
            </w:r>
            <w:r>
              <w:rPr>
                <w:sz w:val="20"/>
              </w:rPr>
              <w:t xml:space="preserve">) </w:t>
            </w:r>
          </w:p>
          <w:p>
            <w:pPr>
              <w:spacing w:before="0" w:after="0" w:line="259" w:lineRule="auto"/>
              <w:ind w:left="0" w:right="0" w:firstLine="0"/>
              <w:jc w:val="left"/>
            </w:pPr>
            <w:r>
              <w:rPr>
                <w:sz w:val="20"/>
              </w:rPr>
              <w:t xml:space="preserve"> </w:t>
            </w:r>
          </w:p>
        </w:tc>
        <w:tc>
          <w:tcPr>
            <w:tcW w:w="5085" w:type="dxa"/>
            <w:tcBorders>
              <w:top w:val="nil"/>
              <w:left w:val="nil"/>
              <w:bottom w:val="nil"/>
              <w:right w:val="nil"/>
            </w:tcBorders>
            <w:vAlign w:val="top"/>
          </w:tcPr>
          <w:p>
            <w:pPr>
              <w:spacing w:before="0" w:after="0" w:line="259" w:lineRule="auto"/>
              <w:ind w:left="0" w:right="0" w:firstLine="0"/>
              <w:jc w:val="left"/>
            </w:pPr>
            <w:r>
              <w:rPr>
                <w:rFonts w:cs="Calibri" w:hAnsi="Calibri" w:eastAsia="Calibri" w:ascii="Calibri"/>
                <w:sz w:val="20"/>
              </w:rPr>
              <w:t xml:space="preserve">Outcome 4:</w:t>
            </w:r>
            <w:r>
              <w:rPr>
                <w:sz w:val="20"/>
              </w:rPr>
              <w:t xml:space="preserve"> An informed public actively claiming good governance and human rights by 2011.</w:t>
            </w:r>
            <w:r>
              <w:rPr>
                <w:rFonts w:cs="Times New Roman" w:hAnsi="Times New Roman" w:eastAsia="Times New Roman" w:ascii="Times New Roman"/>
                <w:sz w:val="18"/>
              </w:rPr>
              <w:t xml:space="preserve"> </w:t>
            </w:r>
          </w:p>
        </w:tc>
      </w:tr>
      <w:tr>
        <w:trPr>
          <w:trHeight w:val="954" w:hRule="atLeast"/>
        </w:trPr>
        <w:tc>
          <w:tcPr>
            <w:tcW w:w="3600" w:type="dxa"/>
            <w:tcBorders>
              <w:top w:val="nil"/>
              <w:left w:val="nil"/>
              <w:bottom w:val="nil"/>
              <w:right w:val="nil"/>
            </w:tcBorders>
            <w:vAlign w:val="top"/>
          </w:tcPr>
          <w:p>
            <w:pPr>
              <w:spacing w:before="0" w:after="0" w:line="259" w:lineRule="auto"/>
              <w:ind w:left="0" w:right="0" w:firstLine="0"/>
              <w:jc w:val="left"/>
            </w:pPr>
            <w:r>
              <w:rPr>
                <w:rFonts w:cs="Calibri" w:hAnsi="Calibri" w:eastAsia="Calibri" w:ascii="Calibri"/>
                <w:sz w:val="20"/>
              </w:rPr>
              <w:t xml:space="preserve">CPAP Expected Outputs/Indicators</w:t>
            </w:r>
            <w:r>
              <w:rPr>
                <w:sz w:val="20"/>
              </w:rPr>
              <w:t xml:space="preserve">  </w:t>
            </w:r>
          </w:p>
        </w:tc>
        <w:tc>
          <w:tcPr>
            <w:tcW w:w="5085" w:type="dxa"/>
            <w:tcBorders>
              <w:top w:val="nil"/>
              <w:left w:val="nil"/>
              <w:bottom w:val="nil"/>
              <w:right w:val="nil"/>
            </w:tcBorders>
            <w:vAlign w:val="top"/>
          </w:tcPr>
          <w:p>
            <w:pPr>
              <w:spacing w:before="0" w:after="19" w:line="242" w:lineRule="auto"/>
              <w:ind w:left="0" w:right="0" w:firstLine="0"/>
              <w:jc w:val="left"/>
            </w:pPr>
            <w:r>
              <w:rPr>
                <w:rFonts w:cs="Calibri" w:hAnsi="Calibri" w:eastAsia="Calibri" w:ascii="Calibri"/>
                <w:sz w:val="20"/>
              </w:rPr>
              <w:t xml:space="preserve">Output 4.1:</w:t>
            </w:r>
            <w:r>
              <w:rPr>
                <w:sz w:val="20"/>
              </w:rPr>
              <w:t xml:space="preserve"> Increased access to quality and timely justice services </w:t>
            </w:r>
          </w:p>
          <w:p>
            <w:pPr>
              <w:spacing w:before="0" w:after="0" w:line="259" w:lineRule="auto"/>
              <w:ind w:left="0" w:right="0" w:firstLine="0"/>
              <w:jc w:val="left"/>
            </w:pPr>
            <w:r>
              <w:rPr>
                <w:rFonts w:cs="Calibri" w:hAnsi="Calibri" w:eastAsia="Calibri" w:ascii="Calibri"/>
                <w:sz w:val="20"/>
              </w:rPr>
              <w:t xml:space="preserve">Output 4.3: </w:t>
            </w:r>
            <w:r>
              <w:rPr>
                <w:sz w:val="20"/>
              </w:rPr>
              <w:t xml:space="preserve">Strengthened capacity of Parliament 	for oversight and legislation</w:t>
            </w:r>
            <w:r>
              <w:rPr>
                <w:rFonts w:cs="Times New Roman" w:hAnsi="Times New Roman" w:eastAsia="Times New Roman" w:ascii="Times New Roman"/>
                <w:sz w:val="20"/>
              </w:rPr>
              <w:t xml:space="preserve"> </w:t>
            </w:r>
          </w:p>
        </w:tc>
      </w:tr>
    </w:tbl>
    <w:p>
      <w:pPr>
        <w:spacing w:before="0" w:after="0" w:line="259" w:lineRule="auto"/>
        <w:ind w:left="972" w:right="0" w:firstLine="0"/>
        <w:jc w:val="left"/>
      </w:pPr>
      <w:r>
        <w:rPr>
          <w:sz w:val="20"/>
        </w:rPr>
        <w:t xml:space="preserve"> </w:t>
      </w:r>
    </w:p>
    <w:p>
      <w:pPr>
        <w:tabs>
          <w:tab w:val="center" w:pos="2487"/>
          <w:tab w:val="center" w:pos="4572"/>
        </w:tabs>
        <w:spacing w:before="0" w:after="15" w:line="259" w:lineRule="auto"/>
        <w:ind w:left="0" w:right="0" w:firstLine="0"/>
        <w:jc w:val="left"/>
      </w:pPr>
      <w:r>
        <w:rPr>
          <w:rFonts w:cs="Calibri" w:hAnsi="Calibri" w:eastAsia="Calibri" w:ascii="Calibri"/>
          <w:sz w:val="22"/>
        </w:rPr>
        <w:t xml:space="preserve">	</w:t>
      </w:r>
      <w:r>
        <w:rPr>
          <w:rFonts w:cs="Calibri" w:hAnsi="Calibri" w:eastAsia="Calibri" w:ascii="Calibri"/>
          <w:sz w:val="20"/>
        </w:rPr>
        <w:t xml:space="preserve">Project Expected Outputs/Indicators</w:t>
      </w:r>
      <w:r>
        <w:rPr>
          <w:sz w:val="20"/>
        </w:rPr>
        <w:t xml:space="preserve"> 	 </w:t>
      </w:r>
    </w:p>
    <w:p>
      <w:pPr>
        <w:spacing w:before="0" w:after="0" w:line="259" w:lineRule="auto"/>
        <w:ind w:left="972" w:right="0" w:firstLine="0"/>
        <w:jc w:val="left"/>
      </w:pPr>
      <w:r>
        <w:rPr>
          <w:sz w:val="20"/>
        </w:rPr>
        <w:t xml:space="preserve"> 	 	 	 	 </w:t>
      </w:r>
    </w:p>
    <w:p>
      <w:pPr>
        <w:spacing w:before="0" w:after="8" w:line="250" w:lineRule="auto"/>
        <w:ind w:left="3847" w:right="0"/>
        <w:jc w:val="left"/>
      </w:pPr>
      <w:r>
        <w:rPr>
          <w:rFonts w:cs="Calibri" w:hAnsi="Calibri" w:eastAsia="Calibri" w:ascii="Calibri"/>
          <w:sz w:val="20"/>
        </w:rPr>
        <w:t xml:space="preserve">Output 1</w:t>
      </w:r>
      <w:r>
        <w:rPr>
          <w:sz w:val="20"/>
        </w:rPr>
        <w:t xml:space="preserve">: Gender sensitive programming and planning in the </w:t>
      </w:r>
    </w:p>
    <w:p>
      <w:pPr>
        <w:spacing w:before="0" w:after="8" w:line="250" w:lineRule="auto"/>
        <w:ind w:left="3847" w:right="0"/>
        <w:jc w:val="left"/>
      </w:pPr>
      <w:r>
        <w:rPr>
          <w:sz w:val="20"/>
        </w:rPr>
        <w:t xml:space="preserve">Democratic Governance Sector Working Group enhanced</w:t>
      </w:r>
      <w:r>
        <w:rPr>
          <w:rFonts w:cs="Calibri" w:hAnsi="Calibri" w:eastAsia="Calibri" w:ascii="Calibri"/>
          <w:sz w:val="20"/>
        </w:rPr>
        <w:t xml:space="preserve"> </w:t>
      </w:r>
    </w:p>
    <w:p>
      <w:pPr>
        <w:spacing w:before="0" w:after="0" w:line="259" w:lineRule="auto"/>
        <w:ind w:left="3852" w:right="0" w:firstLine="0"/>
        <w:jc w:val="left"/>
      </w:pPr>
      <w:r>
        <w:rPr>
          <w:rFonts w:cs="Calibri" w:hAnsi="Calibri" w:eastAsia="Calibri" w:ascii="Calibri"/>
          <w:sz w:val="20"/>
        </w:rPr>
        <w:t xml:space="preserve"> </w:t>
      </w:r>
    </w:p>
    <w:p>
      <w:pPr>
        <w:spacing w:before="0" w:after="49" w:line="259" w:lineRule="auto"/>
        <w:ind w:left="3847" w:right="0"/>
        <w:jc w:val="left"/>
      </w:pPr>
      <w:r>
        <w:rPr>
          <w:rFonts w:cs="Calibri" w:hAnsi="Calibri" w:eastAsia="Calibri" w:ascii="Calibri"/>
          <w:sz w:val="20"/>
        </w:rPr>
        <w:t xml:space="preserve">Indicators: </w:t>
      </w:r>
    </w:p>
    <w:p>
      <w:pPr>
        <w:numPr>
          <w:ilvl w:val="0"/>
          <w:numId w:val="1"/>
        </w:numPr>
        <w:spacing w:before="0" w:after="61" w:line="250" w:lineRule="auto"/>
        <w:ind w:left="4197" w:right="0" w:hanging="360"/>
        <w:jc w:val="left"/>
      </w:pPr>
      <w:r>
        <w:rPr>
          <w:sz w:val="20"/>
        </w:rPr>
        <w:t xml:space="preserve">Capacity diagnostic study on gender mainstreaming for the Democratic Governance sector undertaken  </w:t>
      </w:r>
    </w:p>
    <w:p>
      <w:pPr>
        <w:numPr>
          <w:ilvl w:val="0"/>
          <w:numId w:val="1"/>
        </w:numPr>
        <w:spacing w:before="0" w:after="61" w:line="250" w:lineRule="auto"/>
        <w:ind w:left="4197" w:right="0" w:hanging="360"/>
        <w:jc w:val="left"/>
      </w:pPr>
      <w:r>
        <w:rPr>
          <w:sz w:val="20"/>
        </w:rPr>
        <w:t xml:space="preserve">Sector strategic plan responding to gender needs </w:t>
      </w:r>
    </w:p>
    <w:p>
      <w:pPr>
        <w:numPr>
          <w:ilvl w:val="0"/>
          <w:numId w:val="1"/>
        </w:numPr>
        <w:spacing w:before="0" w:after="61" w:line="250" w:lineRule="auto"/>
        <w:ind w:left="4197" w:right="0" w:hanging="360"/>
        <w:jc w:val="left"/>
      </w:pPr>
      <w:r>
        <w:rPr>
          <w:sz w:val="20"/>
        </w:rPr>
        <w:t xml:space="preserve">Two gender based indicators included in the Democratic Governance Sector M&amp;E framework </w:t>
      </w:r>
    </w:p>
    <w:p>
      <w:pPr>
        <w:numPr>
          <w:ilvl w:val="0"/>
          <w:numId w:val="1"/>
        </w:numPr>
        <w:spacing w:before="0" w:after="0" w:line="250" w:lineRule="auto"/>
        <w:ind w:left="4197" w:right="0" w:hanging="360"/>
        <w:jc w:val="left"/>
      </w:pPr>
      <w:r>
        <w:rPr>
          <w:sz w:val="20"/>
        </w:rPr>
        <w:t xml:space="preserve">One sector wide gender reference group established and effectively supporting all sector activities. </w:t>
      </w:r>
    </w:p>
    <w:p>
      <w:pPr>
        <w:spacing w:before="0" w:after="0" w:line="259" w:lineRule="auto"/>
        <w:ind w:left="763" w:right="0" w:firstLine="0"/>
        <w:jc w:val="center"/>
      </w:pPr>
      <w:r>
        <w:rPr>
          <w:sz w:val="20"/>
        </w:rPr>
        <w:t xml:space="preserve"> </w:t>
      </w:r>
    </w:p>
    <w:p>
      <w:pPr>
        <w:spacing w:before="0" w:after="0" w:line="250" w:lineRule="auto"/>
        <w:ind w:left="3847" w:right="0"/>
        <w:jc w:val="left"/>
      </w:pPr>
      <w:r>
        <w:rPr>
          <w:rFonts w:cs="Calibri" w:hAnsi="Calibri" w:eastAsia="Calibri" w:ascii="Calibri"/>
          <w:sz w:val="20"/>
        </w:rPr>
        <w:t xml:space="preserve">Output 2</w:t>
      </w:r>
      <w:r>
        <w:rPr>
          <w:sz w:val="20"/>
        </w:rPr>
        <w:t xml:space="preserve">: Legal and statutory interventions to strengthen the national gender machinery identified and put in place</w:t>
      </w:r>
      <w:r>
        <w:rPr>
          <w:rFonts w:cs="Calibri" w:hAnsi="Calibri" w:eastAsia="Calibri" w:ascii="Calibri"/>
        </w:rPr>
        <w:t xml:space="preserve"> </w:t>
      </w:r>
    </w:p>
    <w:p>
      <w:pPr>
        <w:spacing w:before="0" w:after="0" w:line="259" w:lineRule="auto"/>
        <w:ind w:left="3852" w:right="0" w:firstLine="0"/>
        <w:jc w:val="left"/>
      </w:pPr>
      <w:r>
        <w:rPr>
          <w:sz w:val="20"/>
        </w:rPr>
        <w:t xml:space="preserve"> </w:t>
      </w:r>
    </w:p>
    <w:p>
      <w:pPr>
        <w:spacing w:before="0" w:after="49" w:line="259" w:lineRule="auto"/>
        <w:ind w:left="3847" w:right="0"/>
        <w:jc w:val="left"/>
      </w:pPr>
      <w:r>
        <w:rPr>
          <w:rFonts w:cs="Calibri" w:hAnsi="Calibri" w:eastAsia="Calibri" w:ascii="Calibri"/>
          <w:sz w:val="20"/>
        </w:rPr>
        <w:t xml:space="preserve">Indicators: </w:t>
      </w:r>
    </w:p>
    <w:p>
      <w:pPr>
        <w:numPr>
          <w:ilvl w:val="0"/>
          <w:numId w:val="1"/>
        </w:numPr>
        <w:spacing w:before="0" w:after="61" w:line="250" w:lineRule="auto"/>
        <w:ind w:left="4197" w:right="0" w:hanging="360"/>
        <w:jc w:val="left"/>
      </w:pPr>
      <w:r>
        <w:rPr>
          <w:sz w:val="20"/>
        </w:rPr>
        <w:t xml:space="preserve">Implementation of the white paper action plan supported </w:t>
      </w:r>
    </w:p>
    <w:p>
      <w:pPr>
        <w:numPr>
          <w:ilvl w:val="0"/>
          <w:numId w:val="1"/>
        </w:numPr>
        <w:spacing w:before="0" w:after="61" w:line="250" w:lineRule="auto"/>
        <w:ind w:left="4197" w:right="0" w:hanging="360"/>
        <w:jc w:val="left"/>
      </w:pPr>
      <w:r>
        <w:rPr>
          <w:sz w:val="20"/>
        </w:rPr>
        <w:t xml:space="preserve">Comprehensive and sustained gender training strategy developed  </w:t>
      </w:r>
    </w:p>
    <w:p>
      <w:pPr>
        <w:numPr>
          <w:ilvl w:val="0"/>
          <w:numId w:val="1"/>
        </w:numPr>
        <w:spacing w:before="0" w:after="61" w:line="250" w:lineRule="auto"/>
        <w:ind w:left="4197" w:right="0" w:hanging="360"/>
        <w:jc w:val="left"/>
      </w:pPr>
      <w:r>
        <w:rPr>
          <w:sz w:val="20"/>
        </w:rPr>
        <w:t xml:space="preserve">Training on skill building on gender for lawmakers and civil society     conducted  </w:t>
      </w:r>
    </w:p>
    <w:p>
      <w:pPr>
        <w:numPr>
          <w:ilvl w:val="0"/>
          <w:numId w:val="1"/>
        </w:numPr>
        <w:spacing w:before="0" w:after="61" w:line="250" w:lineRule="auto"/>
        <w:ind w:left="4197" w:right="0" w:hanging="360"/>
        <w:jc w:val="left"/>
      </w:pPr>
      <w:r>
        <w:rPr>
          <w:sz w:val="20"/>
        </w:rPr>
        <w:t xml:space="preserve">Evaluation on the proposed legislation on gender or gender related issues undertaken  </w:t>
      </w:r>
    </w:p>
    <w:p>
      <w:pPr>
        <w:numPr>
          <w:ilvl w:val="0"/>
          <w:numId w:val="1"/>
        </w:numPr>
        <w:spacing w:before="0" w:after="61" w:line="250" w:lineRule="auto"/>
        <w:ind w:left="4197" w:right="0" w:hanging="360"/>
        <w:jc w:val="left"/>
      </w:pPr>
      <w:r>
        <w:rPr>
          <w:sz w:val="20"/>
        </w:rPr>
        <w:t xml:space="preserve">Review on oppressive statutory practices and customary laws that infringe on women’s rights undertaken </w:t>
      </w:r>
    </w:p>
    <w:p>
      <w:pPr>
        <w:numPr>
          <w:ilvl w:val="0"/>
          <w:numId w:val="1"/>
        </w:numPr>
        <w:spacing w:before="0" w:after="542" w:line="250" w:lineRule="auto"/>
        <w:ind w:left="4197" w:right="0" w:hanging="360"/>
        <w:jc w:val="left"/>
      </w:pPr>
      <w:r>
        <w:rPr>
          <w:sz w:val="20"/>
        </w:rPr>
        <w:t xml:space="preserve">Monitoring tool for  laws relating to women’s rights developed </w:t>
      </w:r>
    </w:p>
    <w:p>
      <w:pPr>
        <w:tabs>
          <w:tab w:val="center" w:pos="972"/>
          <w:tab w:val="center" w:pos="5292"/>
        </w:tabs>
        <w:spacing w:before="0" w:after="0" w:line="259" w:lineRule="auto"/>
        <w:ind w:left="0" w:right="0" w:firstLine="0"/>
        <w:jc w:val="left"/>
      </w:pPr>
      <w:r>
        <w:rPr>
          <w:rFonts w:cs="Calibri" w:hAnsi="Calibri" w:eastAsia="Calibri" w:ascii="Calibri"/>
          <w:sz w:val="22"/>
        </w:rPr>
        <w:t xml:space="preserve">	</w:t>
      </w:r>
      <w:r>
        <w:rPr>
          <w:rFonts w:cs="Times New Roman" w:hAnsi="Times New Roman" w:eastAsia="Times New Roman" w:ascii="Times New Roman"/>
        </w:rPr>
        <w:t xml:space="preserve"> 	</w:t>
      </w:r>
      <w:r>
        <w:rPr>
          <w:rFonts w:cs="Times New Roman" w:hAnsi="Times New Roman" w:eastAsia="Times New Roman" w:ascii="Times New Roman"/>
        </w:rPr>
        <w:t xml:space="preserve">1</w:t>
      </w:r>
    </w:p>
    <w:p>
      <w:pPr>
        <w:spacing w:before="0" w:after="20" w:line="259" w:lineRule="auto"/>
        <w:ind w:left="3852" w:right="0" w:firstLine="0"/>
        <w:jc w:val="left"/>
      </w:pPr>
      <w:r>
        <w:rPr>
          <w:rFonts w:cs="Calibri" w:hAnsi="Calibri" w:eastAsia="Calibri" w:ascii="Calibri"/>
          <w:sz w:val="20"/>
        </w:rPr>
        <w:t xml:space="preserve"> </w:t>
      </w:r>
    </w:p>
    <w:p>
      <w:pPr>
        <w:spacing w:before="0" w:after="23" w:line="250" w:lineRule="auto"/>
        <w:ind w:left="3847" w:right="0"/>
        <w:jc w:val="left"/>
      </w:pPr>
      <w:r>
        <w:rPr>
          <w:rFonts w:cs="Calibri" w:hAnsi="Calibri" w:eastAsia="Calibri" w:ascii="Calibri"/>
          <w:sz w:val="20"/>
        </w:rPr>
        <w:t xml:space="preserve">Output 3:</w:t>
      </w:r>
      <w:r>
        <w:rPr>
          <w:sz w:val="20"/>
        </w:rPr>
        <w:t xml:space="preserve"> Women’s participation in decision making processes in all administrative levels enhanced</w:t>
      </w:r>
      <w:r>
        <w:rPr/>
        <w:t xml:space="preserve"> </w:t>
      </w:r>
      <w:r>
        <w:rPr>
          <w:rFonts w:cs="Calibri" w:hAnsi="Calibri" w:eastAsia="Calibri" w:ascii="Calibri"/>
        </w:rPr>
        <w:t xml:space="preserve"> </w:t>
      </w:r>
    </w:p>
    <w:p>
      <w:pPr>
        <w:spacing w:before="0" w:after="0" w:line="259" w:lineRule="auto"/>
        <w:ind w:left="1692" w:right="0" w:firstLine="0"/>
        <w:jc w:val="left"/>
      </w:pPr>
      <w:r>
        <w:rPr>
          <w:rFonts w:cs="Calibri" w:hAnsi="Calibri" w:eastAsia="Calibri" w:ascii="Calibri"/>
        </w:rPr>
        <w:t xml:space="preserve"> </w:t>
      </w:r>
    </w:p>
    <w:p>
      <w:pPr>
        <w:spacing w:before="0" w:after="0" w:line="259" w:lineRule="auto"/>
        <w:ind w:left="3847" w:right="0"/>
        <w:jc w:val="left"/>
      </w:pPr>
      <w:r>
        <w:rPr>
          <w:rFonts w:cs="Calibri" w:hAnsi="Calibri" w:eastAsia="Calibri" w:ascii="Calibri"/>
          <w:sz w:val="20"/>
        </w:rPr>
        <w:t xml:space="preserve">Indicators</w:t>
      </w:r>
      <w:r>
        <w:rPr>
          <w:sz w:val="20"/>
        </w:rPr>
        <w:t xml:space="preserve">: </w:t>
      </w:r>
    </w:p>
    <w:tbl>
      <w:tblPr>
        <w:tblStyle w:val="TableGrid"/>
        <w:tblW w:w="8685" w:type="dxa"/>
        <w:tblInd w:w="972" w:type="dxa"/>
        <w:tblCellMar>
          <w:top w:w="32" w:type="dxa"/>
          <w:left w:w="0" w:type="dxa"/>
          <w:bottom w:w="0" w:type="dxa"/>
          <w:right w:w="0" w:type="dxa"/>
        </w:tblCellMar>
      </w:tblPr>
      <w:tblGrid>
        <w:gridCol w:w="3240"/>
        <w:gridCol w:w="5445"/>
      </w:tblGrid>
      <w:tr>
        <w:trPr>
          <w:trHeight w:val="245" w:hRule="atLeast"/>
        </w:trPr>
        <w:tc>
          <w:tcPr>
            <w:tcW w:w="3240" w:type="dxa"/>
            <w:tcBorders>
              <w:top w:val="nil"/>
              <w:left w:val="nil"/>
              <w:bottom w:val="nil"/>
              <w:right w:val="nil"/>
            </w:tcBorders>
            <w:vAlign w:val="top"/>
          </w:tcPr>
          <w:p>
            <w:pPr>
              <w:spacing w:before="0" w:after="0" w:line="259" w:lineRule="auto"/>
              <w:ind w:left="0" w:right="269" w:firstLine="0"/>
              <w:jc w:val="right"/>
            </w:pPr>
            <w:r>
              <w:rPr>
                <w:rFonts w:cs="Segoe UI Symbol" w:hAnsi="Segoe UI Symbol" w:eastAsia="Segoe UI Symbol" w:ascii="Segoe UI Symbol"/>
                <w:sz w:val="20"/>
              </w:rPr>
              <w:t xml:space="preserve">•</w:t>
            </w:r>
            <w:r>
              <w:rPr>
                <w:rFonts w:cs="Arial" w:hAnsi="Arial" w:eastAsia="Arial" w:ascii="Arial"/>
                <w:sz w:val="20"/>
              </w:rPr>
              <w:t xml:space="preserve"> </w:t>
            </w:r>
          </w:p>
        </w:tc>
        <w:tc>
          <w:tcPr>
            <w:tcW w:w="5445" w:type="dxa"/>
            <w:tcBorders>
              <w:top w:val="nil"/>
              <w:left w:val="nil"/>
              <w:bottom w:val="nil"/>
              <w:right w:val="nil"/>
            </w:tcBorders>
            <w:vAlign w:val="top"/>
          </w:tcPr>
          <w:p>
            <w:pPr>
              <w:spacing w:before="0" w:after="0" w:line="259" w:lineRule="auto"/>
              <w:ind w:left="0" w:right="0" w:firstLine="0"/>
              <w:jc w:val="left"/>
            </w:pPr>
            <w:r>
              <w:rPr>
                <w:sz w:val="20"/>
              </w:rPr>
              <w:t xml:space="preserve">Study on women’s political and legal empowerment  undertaken </w:t>
            </w:r>
          </w:p>
        </w:tc>
      </w:tr>
      <w:tr>
        <w:trPr>
          <w:trHeight w:val="498" w:hRule="atLeast"/>
        </w:trPr>
        <w:tc>
          <w:tcPr>
            <w:tcW w:w="3240" w:type="dxa"/>
            <w:tcBorders>
              <w:top w:val="nil"/>
              <w:left w:val="nil"/>
              <w:bottom w:val="nil"/>
              <w:right w:val="nil"/>
            </w:tcBorders>
            <w:vAlign w:val="top"/>
          </w:tcPr>
          <w:p>
            <w:pPr>
              <w:spacing w:before="0" w:after="0" w:line="259" w:lineRule="auto"/>
              <w:ind w:left="0" w:right="269" w:firstLine="0"/>
              <w:jc w:val="right"/>
            </w:pPr>
            <w:r>
              <w:rPr>
                <w:rFonts w:cs="Segoe UI Symbol" w:hAnsi="Segoe UI Symbol" w:eastAsia="Segoe UI Symbol" w:ascii="Segoe UI Symbol"/>
                <w:sz w:val="20"/>
              </w:rPr>
              <w:t xml:space="preserve">•</w:t>
            </w:r>
            <w:r>
              <w:rPr>
                <w:rFonts w:cs="Arial" w:hAnsi="Arial" w:eastAsia="Arial" w:ascii="Arial"/>
                <w:sz w:val="20"/>
              </w:rPr>
              <w:t xml:space="preserve"> </w:t>
            </w:r>
          </w:p>
        </w:tc>
        <w:tc>
          <w:tcPr>
            <w:tcW w:w="5445" w:type="dxa"/>
            <w:tcBorders>
              <w:top w:val="nil"/>
              <w:left w:val="nil"/>
              <w:bottom w:val="nil"/>
              <w:right w:val="nil"/>
            </w:tcBorders>
            <w:vAlign w:val="top"/>
          </w:tcPr>
          <w:p>
            <w:pPr>
              <w:spacing w:before="0" w:after="0" w:line="259" w:lineRule="auto"/>
              <w:ind w:left="0" w:right="0" w:firstLine="0"/>
              <w:jc w:val="left"/>
            </w:pPr>
            <w:r>
              <w:rPr>
                <w:sz w:val="20"/>
              </w:rPr>
              <w:t xml:space="preserve">Framework for women’s political and legal empowerment developed </w:t>
            </w:r>
          </w:p>
        </w:tc>
      </w:tr>
      <w:tr>
        <w:trPr>
          <w:trHeight w:val="499" w:hRule="atLeast"/>
        </w:trPr>
        <w:tc>
          <w:tcPr>
            <w:tcW w:w="3240" w:type="dxa"/>
            <w:tcBorders>
              <w:top w:val="nil"/>
              <w:left w:val="nil"/>
              <w:bottom w:val="nil"/>
              <w:right w:val="nil"/>
            </w:tcBorders>
            <w:vAlign w:val="top"/>
          </w:tcPr>
          <w:p>
            <w:pPr>
              <w:spacing w:before="0" w:after="0" w:line="259" w:lineRule="auto"/>
              <w:ind w:left="0" w:right="269" w:firstLine="0"/>
              <w:jc w:val="right"/>
            </w:pPr>
            <w:r>
              <w:rPr>
                <w:rFonts w:cs="Segoe UI Symbol" w:hAnsi="Segoe UI Symbol" w:eastAsia="Segoe UI Symbol" w:ascii="Segoe UI Symbol"/>
                <w:sz w:val="20"/>
              </w:rPr>
              <w:t xml:space="preserve">•</w:t>
            </w:r>
            <w:r>
              <w:rPr>
                <w:rFonts w:cs="Arial" w:hAnsi="Arial" w:eastAsia="Arial" w:ascii="Arial"/>
                <w:sz w:val="20"/>
              </w:rPr>
              <w:t xml:space="preserve"> </w:t>
            </w:r>
          </w:p>
        </w:tc>
        <w:tc>
          <w:tcPr>
            <w:tcW w:w="5445" w:type="dxa"/>
            <w:tcBorders>
              <w:top w:val="nil"/>
              <w:left w:val="nil"/>
              <w:bottom w:val="nil"/>
              <w:right w:val="nil"/>
            </w:tcBorders>
            <w:vAlign w:val="top"/>
          </w:tcPr>
          <w:p>
            <w:pPr>
              <w:spacing w:before="0" w:after="0" w:line="259" w:lineRule="auto"/>
              <w:ind w:left="0" w:right="0" w:firstLine="0"/>
              <w:jc w:val="left"/>
            </w:pPr>
            <w:r>
              <w:rPr>
                <w:sz w:val="20"/>
              </w:rPr>
              <w:t xml:space="preserve">Training/ awareness creation for executives of political parties on gender equality issues undertaken </w:t>
            </w:r>
          </w:p>
        </w:tc>
      </w:tr>
      <w:tr>
        <w:trPr>
          <w:trHeight w:val="520" w:hRule="atLeast"/>
        </w:trPr>
        <w:tc>
          <w:tcPr>
            <w:tcW w:w="3240" w:type="dxa"/>
            <w:tcBorders>
              <w:top w:val="nil"/>
              <w:left w:val="nil"/>
              <w:bottom w:val="nil"/>
              <w:right w:val="nil"/>
            </w:tcBorders>
            <w:vAlign w:val="top"/>
          </w:tcPr>
          <w:p>
            <w:pPr>
              <w:spacing w:before="0" w:after="0" w:line="259" w:lineRule="auto"/>
              <w:ind w:left="0" w:right="269" w:firstLine="0"/>
              <w:jc w:val="right"/>
            </w:pPr>
            <w:r>
              <w:rPr>
                <w:rFonts w:cs="Segoe UI Symbol" w:hAnsi="Segoe UI Symbol" w:eastAsia="Segoe UI Symbol" w:ascii="Segoe UI Symbol"/>
                <w:sz w:val="20"/>
              </w:rPr>
              <w:t xml:space="preserve">•</w:t>
            </w:r>
            <w:r>
              <w:rPr>
                <w:rFonts w:cs="Arial" w:hAnsi="Arial" w:eastAsia="Arial" w:ascii="Arial"/>
                <w:sz w:val="20"/>
              </w:rPr>
              <w:t xml:space="preserve"> </w:t>
            </w:r>
          </w:p>
          <w:p>
            <w:pPr>
              <w:spacing w:before="0" w:after="0" w:line="259" w:lineRule="auto"/>
              <w:ind w:left="0" w:right="315" w:firstLine="0"/>
              <w:jc w:val="right"/>
            </w:pPr>
            <w:r>
              <w:rPr>
                <w:sz w:val="20"/>
              </w:rPr>
              <w:t xml:space="preserve"> </w:t>
            </w:r>
          </w:p>
        </w:tc>
        <w:tc>
          <w:tcPr>
            <w:tcW w:w="5445" w:type="dxa"/>
            <w:tcBorders>
              <w:top w:val="nil"/>
              <w:left w:val="nil"/>
              <w:bottom w:val="nil"/>
              <w:right w:val="nil"/>
            </w:tcBorders>
            <w:vAlign w:val="top"/>
          </w:tcPr>
          <w:p>
            <w:pPr>
              <w:spacing w:before="0" w:after="0" w:line="259" w:lineRule="auto"/>
              <w:ind w:left="0" w:right="0" w:firstLine="0"/>
              <w:jc w:val="left"/>
            </w:pPr>
            <w:r>
              <w:rPr>
                <w:sz w:val="20"/>
              </w:rPr>
              <w:t xml:space="preserve">Systematic and strategic awareness campaign plans developed </w:t>
            </w:r>
          </w:p>
        </w:tc>
      </w:tr>
      <w:tr>
        <w:trPr>
          <w:trHeight w:val="1189" w:hRule="atLeast"/>
        </w:trPr>
        <w:tc>
          <w:tcPr>
            <w:tcW w:w="3240" w:type="dxa"/>
            <w:tcBorders>
              <w:top w:val="nil"/>
              <w:left w:val="nil"/>
              <w:bottom w:val="nil"/>
              <w:right w:val="nil"/>
            </w:tcBorders>
            <w:vAlign w:val="top"/>
          </w:tcPr>
          <w:p>
            <w:pPr>
              <w:spacing w:before="0" w:after="469" w:line="259" w:lineRule="auto"/>
              <w:ind w:left="0" w:right="0" w:firstLine="0"/>
              <w:jc w:val="left"/>
            </w:pPr>
            <w:r>
              <w:rPr>
                <w:rFonts w:cs="Calibri" w:hAnsi="Calibri" w:eastAsia="Calibri" w:ascii="Calibri"/>
                <w:sz w:val="20"/>
              </w:rPr>
              <w:t xml:space="preserve">Implementing Partner </w:t>
            </w:r>
          </w:p>
          <w:p>
            <w:pPr>
              <w:spacing w:before="0" w:after="0" w:line="259" w:lineRule="auto"/>
              <w:ind w:left="0" w:right="0" w:firstLine="0"/>
              <w:jc w:val="left"/>
            </w:pPr>
            <w:r>
              <w:rPr>
                <w:rFonts w:cs="Calibri" w:hAnsi="Calibri" w:eastAsia="Calibri" w:ascii="Calibri"/>
                <w:sz w:val="20"/>
              </w:rPr>
              <w:t xml:space="preserve"> </w:t>
            </w:r>
          </w:p>
          <w:p>
            <w:pPr>
              <w:spacing w:before="0" w:after="0" w:line="259" w:lineRule="auto"/>
              <w:ind w:left="0" w:right="0" w:firstLine="0"/>
              <w:jc w:val="left"/>
            </w:pPr>
            <w:r>
              <w:rPr>
                <w:rFonts w:cs="Calibri" w:hAnsi="Calibri" w:eastAsia="Calibri" w:ascii="Calibri"/>
                <w:sz w:val="20"/>
              </w:rPr>
              <w:t xml:space="preserve"> </w:t>
            </w:r>
          </w:p>
        </w:tc>
        <w:tc>
          <w:tcPr>
            <w:tcW w:w="5445" w:type="dxa"/>
            <w:tcBorders>
              <w:top w:val="nil"/>
              <w:left w:val="nil"/>
              <w:bottom w:val="nil"/>
              <w:right w:val="nil"/>
            </w:tcBorders>
            <w:vAlign w:val="top"/>
          </w:tcPr>
          <w:p>
            <w:pPr>
              <w:spacing w:before="0" w:after="0" w:line="259" w:lineRule="auto"/>
              <w:ind w:left="360" w:right="44" w:firstLine="0"/>
            </w:pPr>
            <w:r>
              <w:rPr>
                <w:sz w:val="20"/>
              </w:rPr>
              <w:t xml:space="preserve">Ministry of Justice and Constitutional Affairs, respective Democratic Governance Sector Stakeholders, Ministry of Gender, Gender SWAP</w:t>
            </w:r>
            <w:r>
              <w:rPr>
                <w:rFonts w:cs="Calibri" w:hAnsi="Calibri" w:eastAsia="Calibri" w:ascii="Calibri"/>
                <w:sz w:val="20"/>
              </w:rPr>
              <w:t xml:space="preserve"> </w:t>
            </w:r>
          </w:p>
        </w:tc>
      </w:tr>
    </w:tbl>
    <w:p>
      <w:pPr>
        <w:pBdr>
          <w:top w:val="single" w:color="000000" w:sz="4"/>
          <w:left w:val="single" w:color="000000" w:sz="4"/>
          <w:bottom w:val="single" w:color="000000" w:sz="4"/>
          <w:right w:val="single" w:color="000000" w:sz="4"/>
        </w:pBdr>
        <w:spacing w:before="0" w:after="0" w:line="259" w:lineRule="auto"/>
        <w:ind w:left="0" w:right="0" w:firstLine="0"/>
        <w:jc w:val="center"/>
      </w:pPr>
      <w:r>
        <w:rPr>
          <w:rFonts w:cs="Calibri" w:hAnsi="Calibri" w:eastAsia="Calibri" w:ascii="Calibri"/>
          <w:sz w:val="20"/>
        </w:rPr>
        <w:t xml:space="preserve">Brief  Description </w:t>
      </w:r>
    </w:p>
    <w:p>
      <w:pPr>
        <w:pBdr>
          <w:top w:val="single" w:color="000000" w:sz="4"/>
          <w:left w:val="single" w:color="000000" w:sz="4"/>
          <w:bottom w:val="single" w:color="000000" w:sz="4"/>
          <w:right w:val="single" w:color="000000" w:sz="4"/>
        </w:pBdr>
        <w:spacing w:before="0" w:after="1" w:line="239" w:lineRule="auto"/>
        <w:ind w:left="10" w:right="0"/>
      </w:pPr>
      <w:r>
        <w:rPr>
          <w:sz w:val="20"/>
        </w:rPr>
        <w:t xml:space="preserve">The United Nations Development Assistance Framework (UNDAF) and the UNDP Country Program Document have</w:t>
      </w:r>
      <w:r>
        <w:rPr>
          <w:sz w:val="20"/>
        </w:rPr>
        <w:t xml:space="preserve"> </w:t>
      </w:r>
      <w:r>
        <w:rPr>
          <w:sz w:val="20"/>
        </w:rPr>
        <w:t xml:space="preserve">identified democratic governance as major focus area. UNDP support to Malawi on democratic governance  is  in line with national priorities as enshrined in the Malawi Growth and Development Strategy, which acknowledges that good governance is a fundamental prerequisite for the achievement of the long – term national development goals.  </w:t>
      </w:r>
    </w:p>
    <w:p>
      <w:pPr>
        <w:pBdr>
          <w:top w:val="single" w:color="000000" w:sz="4"/>
          <w:left w:val="single" w:color="000000" w:sz="4"/>
          <w:bottom w:val="single" w:color="000000" w:sz="4"/>
          <w:right w:val="single" w:color="000000" w:sz="4"/>
        </w:pBdr>
        <w:spacing w:before="0" w:after="0" w:line="259" w:lineRule="auto"/>
        <w:ind w:left="0" w:right="0" w:firstLine="0"/>
        <w:jc w:val="left"/>
      </w:pPr>
      <w:r>
        <w:rPr>
          <w:sz w:val="20"/>
        </w:rPr>
        <w:t xml:space="preserve"> </w:t>
      </w:r>
    </w:p>
    <w:p>
      <w:pPr>
        <w:pBdr>
          <w:top w:val="single" w:color="000000" w:sz="4"/>
          <w:left w:val="single" w:color="000000" w:sz="4"/>
          <w:bottom w:val="single" w:color="000000" w:sz="4"/>
          <w:right w:val="single" w:color="000000" w:sz="4"/>
        </w:pBdr>
        <w:spacing w:before="0" w:after="1" w:line="239" w:lineRule="auto"/>
        <w:ind w:left="10" w:right="0"/>
      </w:pPr>
      <w:r>
        <w:rPr>
          <w:sz w:val="20"/>
        </w:rPr>
        <w:t xml:space="preserve">The Joint Country Review of Governance in 2007 identified ineffective coordination of donor support as one of the main constraints that had weakened the democratic governance sector in general, while gender mainstreaming was considered critical for the sector. The Government of Malawi, through the Ministry of Justice, developed a sector wide approach that brought together 19 government institutions plus development partners to work under one umbrella in the name of Democratic Governance Sector. The DG sector emphasizes the need to mainstream gender in all government institutions that align with the Democratic Governance Sector.  </w:t>
      </w:r>
    </w:p>
    <w:p>
      <w:pPr>
        <w:pBdr>
          <w:top w:val="single" w:color="000000" w:sz="4"/>
          <w:left w:val="single" w:color="000000" w:sz="4"/>
          <w:bottom w:val="single" w:color="000000" w:sz="4"/>
          <w:right w:val="single" w:color="000000" w:sz="4"/>
        </w:pBdr>
        <w:spacing w:before="0" w:after="0" w:line="259" w:lineRule="auto"/>
        <w:ind w:left="0" w:right="0" w:firstLine="0"/>
        <w:jc w:val="left"/>
      </w:pPr>
      <w:r>
        <w:rPr>
          <w:sz w:val="20"/>
        </w:rPr>
        <w:t xml:space="preserve"> </w:t>
      </w:r>
    </w:p>
    <w:p>
      <w:pPr>
        <w:pBdr>
          <w:top w:val="single" w:color="000000" w:sz="4"/>
          <w:left w:val="single" w:color="000000" w:sz="4"/>
          <w:bottom w:val="single" w:color="000000" w:sz="4"/>
          <w:right w:val="single" w:color="000000" w:sz="4"/>
        </w:pBdr>
        <w:spacing w:before="0" w:after="1" w:line="239" w:lineRule="auto"/>
        <w:ind w:left="10" w:right="0"/>
      </w:pPr>
      <w:r>
        <w:rPr>
          <w:sz w:val="20"/>
        </w:rPr>
        <w:t xml:space="preserve">The project is responding to MDG 3 - Gender Equality and Women Empowerment; while in the UNDP Strategic Plan (2008-2011) the project will respond to all the three outputs namely; a) fostering inclusive participation; b)strengthening responsive governing institutions; and c) support national partners to implement democratic governance practices grounded in human rights, gender equality and anti corruption. Furthermore, the project will respond to the following outcomes; a) Civic engagement; b) Justice; c) Women's empowerment; and d) Human Rights. </w:t>
      </w:r>
    </w:p>
    <w:p>
      <w:pPr>
        <w:pBdr>
          <w:top w:val="single" w:color="000000" w:sz="4"/>
          <w:left w:val="single" w:color="000000" w:sz="4"/>
          <w:bottom w:val="single" w:color="000000" w:sz="4"/>
          <w:right w:val="single" w:color="000000" w:sz="4"/>
        </w:pBdr>
        <w:spacing w:before="0" w:after="0" w:line="259" w:lineRule="auto"/>
        <w:ind w:left="0" w:right="0" w:firstLine="0"/>
        <w:jc w:val="left"/>
      </w:pPr>
      <w:r>
        <w:rPr>
          <w:sz w:val="20"/>
        </w:rPr>
        <w:t xml:space="preserve"> </w:t>
      </w:r>
    </w:p>
    <w:p>
      <w:pPr>
        <w:pBdr>
          <w:top w:val="single" w:color="000000" w:sz="4"/>
          <w:left w:val="single" w:color="000000" w:sz="4"/>
          <w:bottom w:val="single" w:color="000000" w:sz="4"/>
          <w:right w:val="single" w:color="000000" w:sz="4"/>
        </w:pBdr>
        <w:spacing w:before="0" w:after="1" w:line="239" w:lineRule="auto"/>
        <w:ind w:left="10" w:right="0"/>
      </w:pPr>
      <w:r>
        <w:rPr>
          <w:sz w:val="20"/>
        </w:rPr>
        <w:t xml:space="preserve">The</w:t>
      </w:r>
      <w:r>
        <w:rPr>
          <w:rFonts w:cs="Calibri" w:hAnsi="Calibri" w:eastAsia="Calibri" w:ascii="Calibri"/>
          <w:sz w:val="20"/>
        </w:rPr>
        <w:t xml:space="preserve"> </w:t>
      </w:r>
      <w:r>
        <w:rPr>
          <w:sz w:val="20"/>
        </w:rPr>
        <w:t xml:space="preserve">program approach is focusing on the legal aspect of the Malawi Gender Machinery and the Gender White paper. Most institutional structures created in response to the Beijing Platform of Action slowly  disintegrated into a situation that is largely attributed to failure of creating and approving formal or legal binding documents that institutionalized the roles of different Government institutions and their relationship in promoting gender equality and women’s empowerment.</w:t>
      </w:r>
      <w:r>
        <w:rPr/>
        <w:t xml:space="preserve"> </w:t>
      </w:r>
      <w:r>
        <w:rPr>
          <w:sz w:val="20"/>
        </w:rPr>
        <w:t xml:space="preserve">  </w:t>
      </w:r>
    </w:p>
    <w:p>
      <w:pPr>
        <w:pBdr>
          <w:top w:val="single" w:color="000000" w:sz="4"/>
          <w:left w:val="single" w:color="000000" w:sz="4"/>
          <w:bottom w:val="single" w:color="000000" w:sz="4"/>
          <w:right w:val="single" w:color="000000" w:sz="4"/>
        </w:pBdr>
        <w:spacing w:before="0" w:after="0" w:line="259" w:lineRule="auto"/>
        <w:ind w:left="0" w:right="0" w:firstLine="0"/>
        <w:jc w:val="left"/>
      </w:pPr>
      <w:r>
        <w:rPr>
          <w:sz w:val="20"/>
        </w:rPr>
        <w:t xml:space="preserve"> </w:t>
      </w:r>
    </w:p>
    <w:p>
      <w:pPr>
        <w:pBdr>
          <w:top w:val="single" w:color="000000" w:sz="4"/>
          <w:left w:val="single" w:color="000000" w:sz="4"/>
          <w:bottom w:val="single" w:color="000000" w:sz="4"/>
          <w:right w:val="single" w:color="000000" w:sz="4"/>
        </w:pBdr>
        <w:spacing w:before="0" w:after="1" w:line="239" w:lineRule="auto"/>
        <w:ind w:left="10" w:right="0"/>
      </w:pPr>
      <w:r>
        <w:rPr>
          <w:sz w:val="20"/>
        </w:rPr>
        <w:t xml:space="preserve">The project funding will be provided through the UNDP Democratic Governance Trust Fund and implemented by Ministry of Justice and Constitutional Affairs in close collaboration with other relevant Democratic Governance Sector Stakeholders and Ministry of Gender.</w:t>
      </w:r>
      <w:r>
        <w:rPr>
          <w:rFonts w:cs="Calibri" w:hAnsi="Calibri" w:eastAsia="Calibri" w:ascii="Calibri"/>
          <w:sz w:val="20"/>
        </w:rPr>
        <w:t xml:space="preserve"> </w:t>
      </w:r>
    </w:p>
    <w:p>
      <w:pPr>
        <w:spacing w:before="0" w:after="0" w:line="259" w:lineRule="auto"/>
        <w:ind w:left="972" w:right="0" w:firstLine="0"/>
        <w:jc w:val="left"/>
      </w:pPr>
      <w:r>
        <w:rPr>
          <w:rFonts w:cs="Calibri" w:hAnsi="Calibri" w:eastAsia="Calibri" w:ascii="Calibri"/>
          <w:sz w:val="20"/>
        </w:rPr>
        <w:t xml:space="preserve"> </w:t>
      </w:r>
    </w:p>
    <w:tbl>
      <w:tblPr>
        <w:tblStyle w:val="TableGrid"/>
        <w:tblW w:w="10080" w:type="dxa"/>
        <w:tblInd w:w="-108" w:type="dxa"/>
        <w:tblCellMar>
          <w:top w:w="51" w:type="dxa"/>
          <w:left w:w="108" w:type="dxa"/>
          <w:bottom w:w="0" w:type="dxa"/>
          <w:right w:w="63" w:type="dxa"/>
        </w:tblCellMar>
      </w:tblPr>
      <w:tblGrid>
        <w:gridCol w:w="4680"/>
        <w:gridCol w:w="5400"/>
      </w:tblGrid>
      <w:tr>
        <w:trPr>
          <w:trHeight w:val="1474" w:hRule="atLeast"/>
        </w:trPr>
        <w:tc>
          <w:tcPr>
            <w:tcW w:w="4680" w:type="dxa"/>
            <w:tcBorders>
              <w:top w:val="single" w:sz="4" w:color="000000"/>
              <w:left w:val="single" w:sz="4" w:color="000000"/>
              <w:bottom w:val="single" w:sz="4" w:color="000000"/>
              <w:right w:val="single" w:sz="4" w:color="000000"/>
            </w:tcBorders>
            <w:vAlign w:val="top"/>
          </w:tcPr>
          <w:p>
            <w:pPr>
              <w:spacing w:before="0" w:after="2" w:line="241" w:lineRule="auto"/>
              <w:ind w:left="0" w:right="45" w:firstLine="0"/>
            </w:pPr>
            <w:r>
              <w:rPr>
                <w:rFonts w:cs="Calibri" w:hAnsi="Calibri" w:eastAsia="Calibri" w:ascii="Calibri"/>
                <w:sz w:val="20"/>
              </w:rPr>
              <w:t xml:space="preserve">Program Period : </w:t>
            </w:r>
            <w:r>
              <w:rPr>
                <w:sz w:val="20"/>
              </w:rPr>
              <w:t xml:space="preserve">March, 2011 — December 2012</w:t>
            </w:r>
            <w:r>
              <w:rPr>
                <w:rFonts w:cs="Calibri" w:hAnsi="Calibri" w:eastAsia="Calibri" w:ascii="Calibri"/>
                <w:sz w:val="20"/>
              </w:rPr>
              <w:t xml:space="preserve"> </w:t>
            </w:r>
            <w:r>
              <w:rPr>
                <w:rFonts w:cs="Calibri" w:hAnsi="Calibri" w:eastAsia="Calibri" w:ascii="Calibri"/>
                <w:sz w:val="20"/>
              </w:rPr>
              <w:t xml:space="preserve">UNDP Program Component: </w:t>
            </w:r>
            <w:r>
              <w:rPr>
                <w:sz w:val="20"/>
              </w:rPr>
              <w:t xml:space="preserve">Fostering democratic governance </w:t>
            </w:r>
          </w:p>
          <w:p>
            <w:pPr>
              <w:spacing w:before="0" w:after="0" w:line="259" w:lineRule="auto"/>
              <w:ind w:left="0" w:right="0" w:firstLine="0"/>
              <w:jc w:val="left"/>
            </w:pPr>
            <w:r>
              <w:rPr>
                <w:rFonts w:cs="Calibri" w:hAnsi="Calibri" w:eastAsia="Calibri" w:ascii="Calibri"/>
                <w:sz w:val="20"/>
              </w:rPr>
              <w:t xml:space="preserve">Project Title:</w:t>
            </w:r>
            <w:r>
              <w:rPr>
                <w:sz w:val="20"/>
              </w:rPr>
              <w:t xml:space="preserve"> Gender Mainstreaming in the </w:t>
            </w:r>
          </w:p>
          <w:p>
            <w:pPr>
              <w:spacing w:before="0" w:after="0" w:line="259" w:lineRule="auto"/>
              <w:ind w:left="0" w:right="0" w:firstLine="0"/>
              <w:jc w:val="left"/>
            </w:pPr>
            <w:r>
              <w:rPr>
                <w:sz w:val="20"/>
              </w:rPr>
              <w:t xml:space="preserve">Democratic Governance Sector  </w:t>
            </w:r>
          </w:p>
          <w:p>
            <w:pPr>
              <w:spacing w:before="0" w:after="0" w:line="259" w:lineRule="auto"/>
              <w:ind w:left="0" w:right="0" w:firstLine="0"/>
              <w:jc w:val="left"/>
            </w:pPr>
            <w:r>
              <w:rPr>
                <w:rFonts w:cs="Calibri" w:hAnsi="Calibri" w:eastAsia="Calibri" w:ascii="Calibri"/>
                <w:sz w:val="20"/>
              </w:rPr>
              <w:t xml:space="preserve"> </w:t>
            </w:r>
          </w:p>
        </w:tc>
        <w:tc>
          <w:tcPr>
            <w:tcW w:w="5400"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20"/>
              </w:rPr>
              <w:t xml:space="preserve">Estimated budget:                      US $ 350,000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UNDP                                             US $ 0,00 </w:t>
            </w:r>
          </w:p>
          <w:p>
            <w:pPr>
              <w:spacing w:before="0" w:after="0" w:line="259" w:lineRule="auto"/>
              <w:ind w:left="0" w:right="0" w:firstLine="0"/>
              <w:jc w:val="left"/>
            </w:pPr>
            <w:r>
              <w:rPr>
                <w:sz w:val="20"/>
              </w:rPr>
              <w:t xml:space="preserve">DGTTF                                            US $ 350,000                            </w:t>
            </w:r>
          </w:p>
          <w:p>
            <w:pPr>
              <w:spacing w:before="0" w:after="0" w:line="259" w:lineRule="auto"/>
              <w:ind w:left="0" w:right="0" w:firstLine="0"/>
              <w:jc w:val="left"/>
            </w:pPr>
            <w:r>
              <w:rPr>
                <w:sz w:val="20"/>
              </w:rPr>
              <w:t xml:space="preserve">Malawi Government                   US $ 0,00 </w:t>
            </w:r>
          </w:p>
          <w:p>
            <w:pPr>
              <w:spacing w:before="0" w:after="0" w:line="259" w:lineRule="auto"/>
              <w:ind w:left="0" w:right="0" w:firstLine="0"/>
              <w:jc w:val="left"/>
            </w:pPr>
            <w:r>
              <w:rPr>
                <w:rFonts w:cs="Calibri" w:hAnsi="Calibri" w:eastAsia="Calibri" w:ascii="Calibri"/>
                <w:sz w:val="20"/>
              </w:rPr>
              <w:t xml:space="preserve"> </w:t>
            </w:r>
          </w:p>
        </w:tc>
      </w:tr>
    </w:tbl>
    <w:p>
      <w:pPr>
        <w:sectPr>
          <w:footerReference w:type="even" r:id="rId3"/>
          <w:footerReference w:type="default" r:id="rId2"/>
          <w:footerReference w:type="first" r:id="rId1"/>
          <w:pgSz w:w="12240" w:h="15840" w:orient="portrait"/>
          <w:pgMar w:left="828" w:top="346" w:right="1546" w:bottom="728"/>
          <w:pgNumType w:fmt="decimal"/>
          <w:cols/>
        </w:sectPr>
      </w:pPr>
    </w:p>
    <w:p>
      <w:pPr>
        <w:spacing w:before="0" w:after="0" w:line="259" w:lineRule="auto"/>
        <w:ind w:left="-1440" w:right="10480" w:firstLine="0"/>
        <w:jc w:val="left"/>
      </w:pPr>
      <w:r>
        <w:drawing>
          <wp:anchor allowOverlap="0" relativeHeight="0" locked="0" simplePos="0" layoutInCell="1" behindDoc="0">
            <wp:simplePos y="0" x="0"/>
            <wp:positionH relativeFrom="page">
              <wp:posOffset>0</wp:posOffset>
            </wp:positionH>
            <wp:positionV relativeFrom="page">
              <wp:posOffset>25400</wp:posOffset>
            </wp:positionV>
            <wp:extent cx="7568185" cy="10646665"/>
            <wp:effectExtent l="0" t="0" r="0" b="0"/>
            <wp:wrapTopAndBottom/>
            <wp:docPr id="109016" name="Picture 109016"/>
            <wp:cNvGraphicFramePr/>
            <a:graphic>
              <a:graphicData uri="http://schemas.openxmlformats.org/drawingml/2006/picture">
                <pic:pic xmlns:pic="http://schemas.openxmlformats.org/drawingml/2006/picture">
                  <pic:nvPicPr>
                    <pic:cNvPr id="109016" name="Picture 109016"/>
                    <pic:cNvPicPr/>
                  </pic:nvPicPr>
                  <pic:blipFill>
                    <a:blip r:embed="rId14"/>
                    <a:stretch>
                      <a:fillRect/>
                    </a:stretch>
                  </pic:blipFill>
                  <pic:spPr>
                    <a:xfrm>
                      <a:off x="0" y="0"/>
                      <a:ext cx="7568185" cy="10646665"/>
                    </a:xfrm>
                    <a:prstGeom prst="rect">
                      <a:avLst/>
                    </a:prstGeom>
                  </pic:spPr>
                </pic:pic>
              </a:graphicData>
            </a:graphic>
          </wp:anchor>
        </w:drawing>
      </w:r>
    </w:p>
    <w:p>
      <w:pPr>
        <w:sectPr>
          <w:footerReference w:type="even" r:id="rId6"/>
          <w:footerReference w:type="default" r:id="rId5"/>
          <w:footerReference w:type="first" r:id="rId4"/>
          <w:pgSz w:w="11920" w:h="16840" w:orient="portrait"/>
          <w:pgMar w:footer="1000" w:left="1440" w:top="1440" w:right="1440" w:bottom="1440"/>
          <w:cols/>
        </w:sectPr>
      </w:pPr>
    </w:p>
    <w:p>
      <w:pPr>
        <w:tabs>
          <w:tab w:val="center" w:pos="1783"/>
        </w:tabs>
        <w:spacing w:before="0" w:after="0" w:line="259" w:lineRule="auto"/>
        <w:ind w:left="-15" w:right="0" w:firstLine="0"/>
        <w:jc w:val="left"/>
      </w:pPr>
      <w:r>
        <w:rPr>
          <w:rFonts w:cs="Calibri" w:hAnsi="Calibri" w:eastAsia="Calibri" w:ascii="Calibri"/>
        </w:rPr>
        <w:t xml:space="preserve">1.0 	SITUATION ANALYSIS  </w:t>
      </w:r>
    </w:p>
    <w:p>
      <w:pPr>
        <w:spacing w:before="0" w:after="41" w:line="259" w:lineRule="auto"/>
        <w:ind w:left="0" w:right="0" w:firstLine="0"/>
        <w:jc w:val="left"/>
      </w:pPr>
      <w:r>
        <w:rPr>
          <w:rFonts w:cs="Calibri" w:hAnsi="Calibri" w:eastAsia="Calibri" w:ascii="Calibri"/>
        </w:rPr>
        <w:t xml:space="preserve"> </w:t>
      </w:r>
    </w:p>
    <w:p>
      <w:pPr>
        <w:spacing w:before="0" w:after="0" w:line="259" w:lineRule="auto"/>
        <w:ind w:left="-5" w:right="0"/>
        <w:jc w:val="left"/>
      </w:pPr>
      <w:r>
        <w:rPr>
          <w:rFonts w:cs="Calibri" w:hAnsi="Calibri" w:eastAsia="Calibri" w:ascii="Calibri"/>
        </w:rPr>
        <w:t xml:space="preserve">1.1</w:t>
      </w:r>
      <w:r>
        <w:rPr>
          <w:rFonts w:cs="Arial" w:hAnsi="Arial" w:eastAsia="Arial" w:ascii="Arial"/>
          <w:b w:val="1"/>
        </w:rPr>
        <w:t xml:space="preserve"> </w:t>
      </w:r>
      <w:r>
        <w:rPr>
          <w:rFonts w:cs="Calibri" w:hAnsi="Calibri" w:eastAsia="Calibri" w:ascii="Calibri"/>
        </w:rPr>
        <w:t xml:space="preserve">The role of women in Malawi:   </w:t>
      </w:r>
    </w:p>
    <w:p>
      <w:pPr>
        <w:pStyle w:val="normal"/>
        <w:spacing w:before="0" w:after="5" w:line="249" w:lineRule="auto"/>
        <w:ind w:left="-5" w:right="0"/>
      </w:pPr>
      <w:r>
        <w:rPr/>
        <w:t xml:space="preserve">Women constitute 52% of the population of Malawi (HDR 2010, Malawi).  They play multiple roles in society as sustainers of their families in addition to their role as child bearers.  Women also play a significant role in the agriculture sector as the leading contributors to the labor force.  Women are the majority of the voters and political activists, with an added role of encouraging political leaders.  However, all these efforts continue to go unaccounted for or sometimes even unrecognized.  Lack of recognition of women’s contribution to development emanates from the low social value placed on them, historical, cultural and structural influences, and development and economic ideologies that are modeled on western patriarchal systems in a country that has been predominantly matriarchal.  The fact too that they do not participate equally with men in politics has placed them in a subordinate position that does not allow them to participate and benefit equally from the development process of the country. </w:t>
      </w:r>
    </w:p>
    <w:p>
      <w:pPr>
        <w:spacing w:before="0" w:after="41" w:line="259" w:lineRule="auto"/>
        <w:ind w:left="0" w:right="0" w:firstLine="0"/>
        <w:jc w:val="left"/>
      </w:pPr>
      <w:r>
        <w:rPr>
          <w:rFonts w:cs="Calibri" w:hAnsi="Calibri" w:eastAsia="Calibri" w:ascii="Calibri"/>
        </w:rPr>
        <w:t xml:space="preserve"> </w:t>
      </w:r>
    </w:p>
    <w:p>
      <w:pPr>
        <w:spacing w:before="0" w:after="0" w:line="259" w:lineRule="auto"/>
        <w:ind w:left="-5" w:right="0"/>
        <w:jc w:val="left"/>
      </w:pPr>
      <w:r>
        <w:rPr>
          <w:rFonts w:cs="Calibri" w:hAnsi="Calibri" w:eastAsia="Calibri" w:ascii="Calibri"/>
        </w:rPr>
        <w:t xml:space="preserve">1.2</w:t>
      </w:r>
      <w:r>
        <w:rPr>
          <w:rFonts w:cs="Arial" w:hAnsi="Arial" w:eastAsia="Arial" w:ascii="Arial"/>
          <w:b w:val="1"/>
        </w:rPr>
        <w:t xml:space="preserve"> </w:t>
      </w:r>
      <w:r>
        <w:rPr>
          <w:rFonts w:cs="Calibri" w:hAnsi="Calibri" w:eastAsia="Calibri" w:ascii="Calibri"/>
        </w:rPr>
        <w:t xml:space="preserve">Gender Mainstreaming in the Government of Malawi: </w:t>
      </w:r>
    </w:p>
    <w:p>
      <w:pPr>
        <w:pStyle w:val="normal"/>
        <w:spacing w:before="0" w:after="5" w:line="249" w:lineRule="auto"/>
        <w:ind w:left="-5" w:right="0"/>
      </w:pPr>
      <w:r>
        <w:rPr/>
        <w:t xml:space="preserve">The Government of Malawi recognizes the importance of gender mainstreaming as a key strategy for bridging disparities between men and women.  From a broader perspective, striving to achieve gender equality strengthens democracy and advances human development at large. Gender mainstreaming tries to bring about equality by taking into account the implications of men and women for any planned actions including policies, legislations, programs and budgets in all areas and at all levels.  A strategy for making gender concerns and experiences an integral dimension of the design, implementation, monitoring and evaluation of policies, strategies and programs in political, economic, and social realms is further supported by Goal 3 of the Millennium Development Goal (MDG 3): Gender equality and women’s empowerment, which is a goal in itself and a means to achieving other MDGs.  Gender equality and women’s empowerment are central to achieving the Millennium Development Goals.  The Government of Malawi recognizes the need to create and nurture a conducive environment where women, men, girls and boys work as partners, complementing each other in their effort to reduce poverty so as to live in dignity and uphold the rights of all.  </w:t>
      </w:r>
    </w:p>
    <w:p>
      <w:pPr>
        <w:spacing w:before="0" w:after="0" w:line="259" w:lineRule="auto"/>
        <w:ind w:left="0" w:right="0" w:firstLine="0"/>
        <w:jc w:val="left"/>
      </w:pPr>
      <w:r>
        <w:rPr/>
        <w:t xml:space="preserve"> </w:t>
      </w:r>
    </w:p>
    <w:p>
      <w:pPr>
        <w:spacing w:before="0" w:after="0" w:line="259" w:lineRule="auto"/>
        <w:ind w:left="-5" w:right="0"/>
        <w:jc w:val="left"/>
      </w:pPr>
      <w:r>
        <w:rPr>
          <w:rFonts w:cs="Calibri" w:hAnsi="Calibri" w:eastAsia="Calibri" w:ascii="Calibri"/>
        </w:rPr>
        <w:t xml:space="preserve">1.3 National policies and frameworks in support of gender mainstreaming: </w:t>
      </w:r>
    </w:p>
    <w:p>
      <w:pPr>
        <w:pStyle w:val="normal"/>
        <w:spacing w:before="0" w:after="5" w:line="249" w:lineRule="auto"/>
        <w:ind w:left="-5" w:right="0"/>
      </w:pPr>
      <w:r>
        <w:rPr/>
        <w:t xml:space="preserve">T</w:t>
      </w:r>
      <w:r>
        <w:rPr>
          <w:sz w:val="22"/>
        </w:rPr>
        <w:t xml:space="preserve">he </w:t>
      </w:r>
      <w:r>
        <w:rPr/>
        <w:t xml:space="preserve">Constitution of the Republic of Malawi </w:t>
      </w:r>
      <w:r>
        <w:rPr>
          <w:sz w:val="22"/>
        </w:rPr>
        <w:t xml:space="preserve">guarantees equal rights to men and women</w:t>
      </w:r>
      <w:r>
        <w:rPr/>
        <w:t xml:space="preserve"> and this is further elaborated in Chapter IV Section 20 (1) and (2) and Section 24 (1) (a) (i) and (ii).  While Article 3(1) of the National Gender Policy states the general goal of the policy document, which is to “mainstream gender in the national development processes to enhance the participation of women, men, boys, and girls for sustainable and equal development for poverty eradication”.  </w:t>
      </w:r>
    </w:p>
    <w:p>
      <w:pPr>
        <w:pStyle w:val="normal"/>
        <w:spacing w:before="0" w:after="5" w:line="249" w:lineRule="auto"/>
        <w:ind w:left="-5" w:right="0"/>
      </w:pPr>
      <w:r>
        <w:rPr/>
        <w:t xml:space="preserve">A need assessment of the MGDS in 2006 considered to improve Gender based electoral reforms which could ensure a greater participation of women at the institutional  level as well as in the electoral processes are pertinent. The reforms should include voting and campaigning, democratization of political parties, with a focus on  </w:t>
      </w:r>
      <w:r>
        <w:rPr/>
        <w:t xml:space="preserve">getting male political leaders to understand that even within parties’ women can be and  should be given the opportunity to be leaders. After the general elections in 2009 the report on increasing women representation in parliament referred to achievements made and the actual situation.  </w:t>
      </w:r>
    </w:p>
    <w:p>
      <w:pPr>
        <w:pStyle w:val="normal"/>
        <w:spacing w:before="0" w:after="5" w:line="249" w:lineRule="auto"/>
        <w:ind w:left="-5" w:right="0"/>
      </w:pPr>
      <w:r>
        <w:rPr/>
        <w:t xml:space="preserve">The National Gender Machinery, on the other hand, reaffirms the need to achieve gender equality and women empowerment, and this is further supported by the Malawi Growth and Development Strategy (MGDS).   </w:t>
      </w:r>
    </w:p>
    <w:p>
      <w:pPr>
        <w:pStyle w:val="normal"/>
        <w:spacing w:before="0" w:after="5" w:line="249" w:lineRule="auto"/>
        <w:ind w:left="-5" w:right="0"/>
      </w:pPr>
      <w:r>
        <w:rPr/>
        <w:t xml:space="preserve">Th</w:t>
      </w:r>
      <w:r>
        <w:rPr>
          <w:sz w:val="22"/>
        </w:rPr>
        <w:t xml:space="preserve">e</w:t>
      </w:r>
      <w:r>
        <w:rPr/>
        <w:t xml:space="preserve"> machinery was comprised of a wide array of </w:t>
      </w:r>
      <w:r>
        <w:rPr>
          <w:sz w:val="22"/>
        </w:rPr>
        <w:t xml:space="preserve">government institutions allocated with different responsibilities in the quest for gender equality and women’s empowerment. T</w:t>
      </w:r>
      <w:r>
        <w:rPr/>
        <w:t xml:space="preserve">he Ministry of Gender was to provide policy directions on both gender and women’s issues, and was to forge partnerships with a number of Development Partners, NGOs and Communities to work on implementation of the PFA. It established an effective working relationship with the Office of the Ombudsman; the Malawi National Law Commission and the National Commission on Women in Development (NCWID) where the NCWID was conceived as an independent body to lead coordination and advocacy initiatives to promote the advancement of women in Malawi.  </w:t>
      </w:r>
    </w:p>
    <w:p>
      <w:pPr>
        <w:pStyle w:val="normal"/>
        <w:spacing w:before="0" w:after="5" w:line="249" w:lineRule="auto"/>
        <w:ind w:left="-5" w:right="0"/>
      </w:pPr>
      <w:r>
        <w:rPr/>
        <w:t xml:space="preserve">However, most of the institutional structures that were created in response to the Beijing Platform of Action were slowly disintegrating and the links between the Ministry of gender and other government institutions became less stable, resulting in slow progress in the overall achievement of gender equality and women’s empowerment in Malawi. The disintegration of the Machinery is largely attributed to failure of creating and approving formal or legal binding documents that institutionalized the roles of different Government institutions and their relationship in promoting gender equality and women’s empowerment.  </w:t>
      </w:r>
    </w:p>
    <w:p>
      <w:pPr>
        <w:spacing w:before="0" w:after="0" w:line="259" w:lineRule="auto"/>
        <w:ind w:left="0" w:right="0" w:firstLine="0"/>
        <w:jc w:val="left"/>
      </w:pPr>
      <w:r>
        <w:rPr/>
        <w:t xml:space="preserve"> </w:t>
      </w:r>
    </w:p>
    <w:p>
      <w:pPr>
        <w:pStyle w:val="normal"/>
        <w:spacing w:before="0" w:after="274" w:line="249" w:lineRule="auto"/>
        <w:ind w:left="-5" w:right="0"/>
      </w:pPr>
      <w:r>
        <w:rPr/>
        <w:t xml:space="preserve">This situation has created a weak Gender Machinery that has been characterized by fragmented and </w:t>
      </w:r>
      <w:r>
        <w:rPr>
          <w:rFonts w:cs="Calibri" w:hAnsi="Calibri" w:eastAsia="Calibri" w:ascii="Calibri"/>
        </w:rPr>
        <w:t xml:space="preserve">ad hoc</w:t>
      </w:r>
      <w:r>
        <w:rPr/>
        <w:t xml:space="preserve"> support mechanisms for gender equality and women’s empowerment through specific project support by different developing partners and NGOs. Consequently, the MoGCCD has lost its focus as a coordinating body and ebbed into implementation.  </w:t>
      </w:r>
    </w:p>
    <w:p>
      <w:pPr>
        <w:spacing w:before="0" w:after="0" w:line="259" w:lineRule="auto"/>
        <w:ind w:left="-5" w:right="0"/>
        <w:jc w:val="left"/>
      </w:pPr>
      <w:r>
        <w:rPr>
          <w:rFonts w:cs="Calibri" w:hAnsi="Calibri" w:eastAsia="Calibri" w:ascii="Calibri"/>
        </w:rPr>
        <w:t xml:space="preserve">1.4 Gender mainstreaming and governance: </w:t>
      </w:r>
    </w:p>
    <w:p>
      <w:pPr>
        <w:pStyle w:val="normal"/>
        <w:spacing w:before="0" w:after="5" w:line="249" w:lineRule="auto"/>
        <w:ind w:left="-5" w:right="0"/>
      </w:pPr>
      <w:r>
        <w:rPr/>
        <w:t xml:space="preserve">The Government of Malawi recognizes that using women’s political empowerment as a platform for achieving sustainable national development is one key mechanism towards attaining the Millennium Development Goals (MDG 3) on Gender equality and women‘s empowerment, with a major focus on the proportion of women in parliament. The emphasis on enlarging women’s presence in parliament is based on the fact that women’s political participation can be a cornerstone for progress on women’s rights as a whole especially if policies and laws are influenced by a critical presence of women who can potentially move the gender equality agenda. The Government of Malawi also reaffirms that the legal environment that responds to the gender issues is one of the key elements that can contribute to achieving the MDGs and lead to sustainable development.  The customary justice system if mainstreamed with gender could be more effective and gender responsive, and contribute to the reduction of poverty </w:t>
      </w:r>
      <w:r>
        <w:rPr/>
        <w:t xml:space="preserve">among the many women who seek justice.  However, the customary justice system, has on the other hand, had its own challenges to attaining a gender responsive system some of which are highlighted in the Malawi Country Gender Profile (Jan 2007).  The report states that the law enforcement machinery is limited in its capacity to protect the rights of women.  The HDR 2010 report confirms that the Constitution of Malawi requires that the customary justice system is empowered to uphold democratic and human rights principles.  Other challenges reported in the Gender Profile report as facing the justice system are; although some women may know the rights and want to use the formal court system; certain interrelated factors prevent or even discourage them from accessing justice delivery systems in Malawi.  Furthermore, lack of information and awareness among women about their legal rights and provisions has accelerated the problem.  There is also general lack of access to legal services and justice delivery systems are not gender responsive.  Although legal measures exist in society that protect women and girls from some form of violence, the existing discriminatory legal system often leaves women without adequate judicial recourse.  The Malawi HDR 2010 reports that while the judiciary has a fundamental role to play in addressing poverty reduction, it’s faced with numerous challenges namely; women having limited physical access to the law/ courts, and the country has only 4 High Courts, among others.  The cost of taking cases to courts is also reported as a challenge - it is reported that the courts are economically inaccessible to most women, while most women are unaware of the options available to them. The Lay Magistrates are also reported not to be comprehensively trained and as a result their knowledge of gender and human rights is reported to be minimal.  There is therefore a need for a broad menu of policy and legislative reforms aimed at removing discrimination against women and promoting gender equality.  “Who interprets the law is at least as important as who makes the law, if not more so… I cannot stress how critical I consider it to be that women are represented and a gender perspective integrated at all levels of the investigation, prosecution, defence, witness protection and the judiciary.” (</w:t>
      </w:r>
      <w:r>
        <w:rPr>
          <w:rFonts w:cs="Calibri" w:hAnsi="Calibri" w:eastAsia="Calibri" w:ascii="Calibri"/>
        </w:rPr>
        <w:t xml:space="preserve">Hon N Pillay, former President of the International Criminal Tribunal for Rwanda and judge of the International Criminal Court). </w:t>
      </w:r>
    </w:p>
    <w:p>
      <w:pPr>
        <w:spacing w:before="0" w:after="0" w:line="259" w:lineRule="auto"/>
        <w:ind w:left="0" w:right="0" w:firstLine="0"/>
        <w:jc w:val="left"/>
      </w:pPr>
      <w:r>
        <w:rPr/>
        <w:t xml:space="preserve">      </w:t>
      </w:r>
    </w:p>
    <w:p>
      <w:pPr>
        <w:pStyle w:val="normal"/>
        <w:spacing w:before="0" w:after="5" w:line="249" w:lineRule="auto"/>
        <w:ind w:left="-5" w:right="0"/>
      </w:pPr>
      <w:r>
        <w:rPr/>
        <w:t xml:space="preserve">On women’s participation in political and decision making positions, the Gender Profile states that few women hold decision making positions within the social, political and economic arenas in Malawi including the three arms of government (the executive, legislature and judiciary).  Only 10% of Malawi’s Principal Secretaries are women, and only 3 out of the 25 High Court Judges are women.  Eleven (11) out of forty three (43) cabinet members are women representing 26% participation of women (NHDR, 2010).  Similarly, men continue to dominate the decision making bodies at district and village levels.  The absence of women from decision making positions entails that gender parity, which is a crucial pillar for ongoing democratic processes and efforts for attaining good governance, enabling economic and social reforms remains unattainable.  A greater presence of women in public offices on national and district level, consultation with women to capture their voices, responding to their needs and demands and reforms to legal and policy frameworks and judicial systems are all key democratic </w:t>
      </w:r>
      <w:r>
        <w:rPr/>
        <w:t xml:space="preserve">factors that cannot be realized in the absence of women’s participation in politics and governance structures.  The concept of democracy recognizes that women and men decide upon political policies and national legislation jointly and women are best placed to articulate their own needs and concerns. </w:t>
      </w:r>
    </w:p>
    <w:p>
      <w:pPr>
        <w:pStyle w:val="normal"/>
        <w:spacing w:before="0" w:after="5" w:line="249" w:lineRule="auto"/>
        <w:ind w:left="-5" w:right="0"/>
      </w:pPr>
      <w:r>
        <w:rPr/>
        <w:t xml:space="preserve">There is need to address the socialization process which entrenches perceptions that women are to be confined to the private (home) and men to the public domain.  Further the unwillingness of some male counterparts and other women who refuse to accept women as equals or superiors in the workplace requires a lot of sensitization.  The way parliamentary candidates are selected needs to be looked at and there are good examples to learn from even within the region.  The fact too that women are less educated than men, have less resources such as money for campaigns and the fact that women are poorly portrayed in the media  compound the problem of small numbers of women in positions of decision making.  There is urgent need to address the inappropriate electoral systems that do not create space for women’s equal participation and even more challenging is the need to create solidarity among women voters and candidates. </w:t>
      </w:r>
    </w:p>
    <w:p>
      <w:pPr>
        <w:spacing w:before="0" w:after="260" w:line="259" w:lineRule="auto"/>
        <w:ind w:left="0" w:right="0" w:firstLine="0"/>
        <w:jc w:val="left"/>
      </w:pPr>
      <w:r>
        <w:rPr/>
        <w:t xml:space="preserve"> </w:t>
      </w:r>
    </w:p>
    <w:p>
      <w:pPr>
        <w:numPr>
          <w:ilvl w:val="0"/>
          <w:numId w:val="2"/>
        </w:numPr>
        <w:spacing w:before="0" w:after="0" w:line="259" w:lineRule="auto"/>
        <w:ind w:left="242" w:right="0" w:hanging="242"/>
        <w:jc w:val="left"/>
      </w:pPr>
      <w:r>
        <w:rPr>
          <w:rFonts w:cs="Calibri" w:hAnsi="Calibri" w:eastAsia="Calibri" w:ascii="Calibri"/>
        </w:rPr>
        <w:t xml:space="preserve">Rationale </w:t>
      </w:r>
    </w:p>
    <w:p>
      <w:pPr>
        <w:pStyle w:val="normal"/>
        <w:spacing w:before="0" w:after="271" w:line="249" w:lineRule="auto"/>
        <w:ind w:left="-5" w:right="0"/>
      </w:pPr>
      <w:r>
        <w:rPr/>
        <w:t xml:space="preserve">The Democratic Governance Sector drafted a final Policy Framework Paper (PFP) that recognizes gender mainstreaming in the seven (8) pillars (Rule of Law, Human Rights, Access to Justice, Public Safety and Security, Integrity, Accountability and Transparency, Public Participation, Free and Fair Elections) of the Democratic Governance sector, this proposal seeks to address a more responsive, coordinated and effective gender responsive Democratic Governance sector. The Sector has recognized the importance of having both women and men’s needs and/ rights equally represented in the three (3) arms of government namely; the executive, legislature, and judiciary.  Further the sector has recognized the need for inclusive and equal participation of women and men in the decision making process, as well as equal access to resources.   </w:t>
      </w:r>
    </w:p>
    <w:p>
      <w:pPr>
        <w:pStyle w:val="normal"/>
        <w:spacing w:before="0" w:after="5" w:line="249" w:lineRule="auto"/>
        <w:ind w:left="-5" w:right="0"/>
      </w:pPr>
      <w:r>
        <w:rPr/>
        <w:t xml:space="preserve">The Project on Gender Mainstreaming in the Democratic Governance Sector is focusing on the legal aspect of the Malawi Gender Machinery and the Gender White paper. The disintegration of the Machinery into other sectors and government institutions is largely attributed to failure of creating and approving formal or legal binding documents that institutionalized the roles of different Government institutions and their relationship in promoting gender equality and women’s empowerment. </w:t>
      </w:r>
      <w:r>
        <w:rPr>
          <w:sz w:val="20"/>
        </w:rPr>
        <w:t xml:space="preserve"> </w:t>
      </w:r>
      <w:r>
        <w:rPr/>
        <w:t xml:space="preserve">UNDP is currently working on re- redefining and strengthening the Gender Machinery. However, there is a dire need for legal and statutory backing to achieve this. It is therefore necessary that the Governance sector joins efforts to strengthen the gender machinery through a proper institutionalization.   </w:t>
      </w:r>
      <w:r>
        <w:rPr>
          <w:sz w:val="20"/>
        </w:rPr>
        <w:t xml:space="preserve"> </w:t>
      </w:r>
    </w:p>
    <w:p>
      <w:pPr>
        <w:spacing w:before="0" w:after="21" w:line="259" w:lineRule="auto"/>
        <w:ind w:left="0" w:right="0" w:firstLine="0"/>
        <w:jc w:val="left"/>
      </w:pPr>
      <w:r>
        <w:rPr>
          <w:sz w:val="20"/>
        </w:rPr>
        <w:t xml:space="preserve"> </w:t>
      </w:r>
    </w:p>
    <w:p>
      <w:pPr>
        <w:pStyle w:val="normal"/>
        <w:spacing w:before="0" w:after="5" w:line="249" w:lineRule="auto"/>
        <w:ind w:left="-5" w:right="0"/>
      </w:pPr>
      <w:r>
        <w:rPr/>
        <w:t xml:space="preserve">Therefore the project aims to strengthen the capacity of Democratic Governance Sector Institutions to provide effective support to the legal and political empowerment of </w:t>
      </w:r>
      <w:r>
        <w:rPr/>
        <w:t xml:space="preserve">women in accordance with recommendations of the gender white paper to the Malawi gender machinery.</w:t>
      </w:r>
      <w:r>
        <w:rPr>
          <w:rFonts w:cs="Calibri" w:hAnsi="Calibri" w:eastAsia="Calibri" w:ascii="Calibri"/>
        </w:rPr>
        <w:t xml:space="preserve"> </w:t>
      </w:r>
    </w:p>
    <w:p>
      <w:pPr>
        <w:spacing w:before="0" w:after="260" w:line="259" w:lineRule="auto"/>
        <w:ind w:left="0" w:right="0" w:firstLine="0"/>
        <w:jc w:val="left"/>
      </w:pPr>
      <w:r>
        <w:rPr/>
        <w:t xml:space="preserve"> </w:t>
      </w:r>
    </w:p>
    <w:p>
      <w:pPr>
        <w:numPr>
          <w:ilvl w:val="0"/>
          <w:numId w:val="2"/>
        </w:numPr>
        <w:spacing w:before="0" w:after="0" w:line="259" w:lineRule="auto"/>
        <w:ind w:left="242" w:right="0" w:hanging="242"/>
        <w:jc w:val="left"/>
      </w:pPr>
      <w:r>
        <w:rPr>
          <w:rFonts w:cs="Calibri" w:hAnsi="Calibri" w:eastAsia="Calibri" w:ascii="Calibri"/>
        </w:rPr>
        <w:t xml:space="preserve">Objectives </w:t>
      </w:r>
    </w:p>
    <w:p>
      <w:pPr>
        <w:spacing w:before="0" w:after="0" w:line="259" w:lineRule="auto"/>
        <w:ind w:left="0" w:right="0" w:firstLine="0"/>
        <w:jc w:val="left"/>
      </w:pPr>
      <w:r>
        <w:rPr>
          <w:rFonts w:cs="Calibri" w:hAnsi="Calibri" w:eastAsia="Calibri" w:ascii="Calibri"/>
        </w:rPr>
        <w:t xml:space="preserve"> </w:t>
      </w:r>
    </w:p>
    <w:p>
      <w:pPr>
        <w:pStyle w:val="normal"/>
        <w:spacing w:before="0" w:after="5" w:line="249" w:lineRule="auto"/>
        <w:ind w:left="-5" w:right="0"/>
      </w:pPr>
      <w:r>
        <w:rPr/>
        <w:t xml:space="preserve">The overall objective of the Project is enhancing legal and political empowerment of women in Malawi.  </w:t>
      </w:r>
    </w:p>
    <w:p>
      <w:pPr>
        <w:pStyle w:val="normal"/>
        <w:spacing w:before="0" w:after="5" w:line="249" w:lineRule="auto"/>
        <w:ind w:left="-5" w:right="0"/>
      </w:pPr>
      <w:r>
        <w:rPr/>
        <w:t xml:space="preserve">The three components of the project are following three objectives: </w:t>
      </w:r>
    </w:p>
    <w:p>
      <w:pPr>
        <w:spacing w:before="0" w:after="44" w:line="259" w:lineRule="auto"/>
        <w:ind w:left="0" w:right="0" w:firstLine="0"/>
        <w:jc w:val="left"/>
      </w:pPr>
      <w:r>
        <w:rPr/>
        <w:t xml:space="preserve"> </w:t>
      </w:r>
    </w:p>
    <w:p>
      <w:pPr>
        <w:pStyle w:val="normal"/>
        <w:numPr>
          <w:ilvl w:val="1"/>
          <w:numId w:val="3"/>
        </w:numPr>
        <w:spacing w:before="0" w:after="54" w:line="249" w:lineRule="auto"/>
        <w:ind w:left="720" w:right="0" w:hanging="360"/>
      </w:pPr>
      <w:r>
        <w:rPr/>
        <w:t xml:space="preserve">Identify gaps in woman’s political and legal participation </w:t>
      </w:r>
    </w:p>
    <w:p>
      <w:pPr>
        <w:pStyle w:val="normal"/>
        <w:numPr>
          <w:ilvl w:val="1"/>
          <w:numId w:val="3"/>
        </w:numPr>
        <w:spacing w:before="0" w:after="60" w:line="249" w:lineRule="auto"/>
        <w:ind w:left="720" w:right="0" w:hanging="360"/>
      </w:pPr>
      <w:r>
        <w:rPr/>
        <w:t xml:space="preserve">Strengthening capacity of Democratic Governance Sector institutions to provide effective legislation for the political and legal empowerment of women.   </w:t>
      </w:r>
    </w:p>
    <w:p>
      <w:pPr>
        <w:numPr>
          <w:ilvl w:val="1"/>
          <w:numId w:val="3"/>
        </w:numPr>
        <w:spacing w:before="0" w:after="0" w:line="259" w:lineRule="auto"/>
        <w:ind w:left="720" w:right="0" w:hanging="360"/>
      </w:pPr>
      <w:r>
        <w:rPr/>
        <w:t xml:space="preserve">Formulate a framework to support women’s political and legal empowerment.  </w:t>
      </w:r>
    </w:p>
    <w:p>
      <w:pPr>
        <w:spacing w:before="0" w:after="0" w:line="259" w:lineRule="auto"/>
        <w:ind w:left="0" w:right="0" w:firstLine="0"/>
        <w:jc w:val="left"/>
      </w:pPr>
      <w:r>
        <w:rPr/>
        <w:t xml:space="preserve"> </w:t>
      </w:r>
    </w:p>
    <w:p>
      <w:pPr>
        <w:numPr>
          <w:ilvl w:val="0"/>
          <w:numId w:val="2"/>
        </w:numPr>
        <w:spacing w:before="0" w:after="0" w:line="259" w:lineRule="auto"/>
        <w:ind w:left="242" w:right="0" w:hanging="242"/>
        <w:jc w:val="left"/>
      </w:pPr>
      <w:r>
        <w:rPr>
          <w:rFonts w:cs="Calibri" w:hAnsi="Calibri" w:eastAsia="Calibri" w:ascii="Calibri"/>
        </w:rPr>
        <w:t xml:space="preserve">INTERVENTION STRATEGY  </w:t>
      </w:r>
    </w:p>
    <w:p>
      <w:pPr>
        <w:spacing w:before="0" w:after="0" w:line="259" w:lineRule="auto"/>
        <w:ind w:left="0" w:right="0" w:firstLine="0"/>
        <w:jc w:val="left"/>
      </w:pPr>
      <w:r>
        <w:rPr>
          <w:rFonts w:cs="Calibri" w:hAnsi="Calibri" w:eastAsia="Calibri" w:ascii="Calibri"/>
        </w:rPr>
        <w:t xml:space="preserve"> </w:t>
      </w:r>
    </w:p>
    <w:p>
      <w:pPr>
        <w:pStyle w:val="normal"/>
        <w:spacing w:before="0" w:after="5" w:line="249" w:lineRule="auto"/>
        <w:ind w:left="-5" w:right="0"/>
      </w:pPr>
      <w:r>
        <w:rPr/>
        <w:t xml:space="preserve">The envisaged Gender Mainstreaming in the Democratic Governance</w:t>
      </w:r>
      <w:r>
        <w:rPr>
          <w:sz w:val="20"/>
        </w:rPr>
        <w:t xml:space="preserve"> </w:t>
      </w:r>
      <w:r>
        <w:rPr/>
        <w:t xml:space="preserve">Sector while not addressing all of the perceived weaknesses in the institutionalization of gender mainstreaming in the sector, will nevertheless focus on enhancing legal and political   empowerment of women to make them aware of their rights and effectively participate in decision making at different levels of the society in so doing deepening Malawi democratic tradition. This will be complimented by working with men to redefine masculinity so that they begin to work towards gender equality and see women as partners in the development and governance processes of the country.  </w:t>
      </w:r>
    </w:p>
    <w:p>
      <w:pPr>
        <w:spacing w:before="0" w:after="0" w:line="259" w:lineRule="auto"/>
        <w:ind w:left="0" w:right="0" w:firstLine="0"/>
        <w:jc w:val="left"/>
      </w:pPr>
      <w:r>
        <w:rPr/>
        <w:t xml:space="preserve"> </w:t>
      </w:r>
    </w:p>
    <w:p>
      <w:pPr>
        <w:spacing w:before="0" w:after="0" w:line="259" w:lineRule="auto"/>
        <w:ind w:left="-5" w:right="0"/>
        <w:jc w:val="left"/>
      </w:pPr>
      <w:r>
        <w:rPr>
          <w:rFonts w:cs="Calibri" w:hAnsi="Calibri" w:eastAsia="Calibri" w:ascii="Calibri"/>
        </w:rPr>
        <w:t xml:space="preserve">4.1 Project components </w:t>
      </w:r>
    </w:p>
    <w:p>
      <w:pPr>
        <w:pStyle w:val="normal"/>
        <w:spacing w:before="0" w:after="5" w:line="249" w:lineRule="auto"/>
        <w:ind w:left="-5" w:right="0"/>
      </w:pPr>
      <w:r>
        <w:rPr/>
        <w:t xml:space="preserve">The strategy envisages a three-pronged intervention that will, firstly, concentrate on the planning and programming issues. In this component a capacity diagnostic study will identify gender mainstreaming capacity gaps among sector framework papers, policies and will give recommendation to the ongoing planning processes as the sector strategic plan and sector institutions strategic plans. The findings of the assessment will support the drafting process of the sector strategic plan. A Gender reference group comprising sector institutions will be formed to monitor gender sensitive strategic planning processes, contributions to the MGDS II and gender responsive planning and budgeting. The task of the gender reference group is to create capacity within the sector and being a focal point for gender related questions concerning the sector working group.  </w:t>
      </w:r>
    </w:p>
    <w:p>
      <w:pPr>
        <w:spacing w:before="0" w:after="0" w:line="259" w:lineRule="auto"/>
        <w:ind w:left="0" w:right="0" w:firstLine="0"/>
        <w:jc w:val="left"/>
      </w:pPr>
      <w:r>
        <w:rPr/>
        <w:t xml:space="preserve"> </w:t>
      </w:r>
    </w:p>
    <w:p>
      <w:pPr>
        <w:pStyle w:val="normal"/>
        <w:spacing w:before="0" w:after="5" w:line="249" w:lineRule="auto"/>
        <w:ind w:left="-5" w:right="0"/>
      </w:pPr>
      <w:r>
        <w:rPr/>
        <w:t xml:space="preserve">The second component will focus on Legal and statutory interventions needed to strengthen the national gender machinery. Other than supporting the approval of a Cabinet paper crucial to pave way for the possible enactment of an Act of Parliament to institutionalize the position, mandate, roles and responsibilities of the National Gender Machinery, a situation analysis of the status of other gender related legislations will be conducted and a report shared with all relevant stakeholders. A comprehensive and </w:t>
      </w:r>
      <w:r>
        <w:rPr/>
        <w:t xml:space="preserve">sustained Gender Training Strategy will be developed to aid key legislative and independent bodies of the National Gender Machinery. i.e. Parliamentary Committee on Social and Community Affairs, the Parliamentary Women’s Caucus, Judicial Institutions, the Malawi Law Commission, Malawi Human Rights Commission, National Commission on Gender and Development, Malawi Human Resource Centre, Malawi Civil Service Commission, and Malawi Electoral Commission in order to ensure that the bodies in question are adequately equipped in addressing gender issues within their specific mandates. Furthermore support will also be provided to key partners i.e. civil society organizations, Democracy Consolidation Program so as to enable the review of oppressive statutory practices and customary laws that infringe on women’s rights. As the review of customary laws is a ongoing process a monitoring tool to be developed will assist respective institutions to involve gender mainstreaming in their constant review and formulation process. This component responds to project output 2 that considers not only legal but also political empowerment of women. The approach has in first instance a legal focus but political bodies will play a crucial role in supporting the gender machinery. </w:t>
      </w:r>
    </w:p>
    <w:p>
      <w:pPr>
        <w:spacing w:before="0" w:after="0" w:line="259" w:lineRule="auto"/>
        <w:ind w:left="0" w:right="0" w:firstLine="0"/>
        <w:jc w:val="left"/>
      </w:pPr>
      <w:r>
        <w:rPr/>
        <w:t xml:space="preserve"> </w:t>
      </w:r>
    </w:p>
    <w:p>
      <w:pPr>
        <w:pStyle w:val="normal"/>
        <w:spacing w:before="0" w:after="27" w:line="249" w:lineRule="auto"/>
        <w:ind w:left="-5" w:right="0"/>
      </w:pPr>
      <w:r>
        <w:rPr/>
        <w:t xml:space="preserve">The third component will concentrate on women’s legal and political empowerment. Based on the actual in-deficit situation on women’s access to knowledge on legal issues and active participation in democratic processes a broad study/assessment will identify women’s legal knowledge gaps and areas that hinder women’s full participation in the political decision-making process and will include all administrative levels, from Parliament to Community level. The results will feed into the formulation of a broad framework on woman’s legal and political empowerment. The designing process will involve a broad stakeholder consultation and consider all initiatives undertaken in the past (50:50 Campaign, review of the 50:50 Campaign, Gender Machinery, and support to woman’s candidates in LGE’s). A situation analysis demonstrated that there is a continuous effort to empower women but mainly focused on national level and very event based (Elections). The framework and the assessment will contribute to a more sustainable strategy and include the aspects on women’s </w:t>
      </w:r>
      <w:r>
        <w:rPr>
          <w:rFonts w:cs="Calibri" w:hAnsi="Calibri" w:eastAsia="Calibri" w:ascii="Calibri"/>
        </w:rPr>
        <w:t xml:space="preserve">political</w:t>
      </w:r>
      <w:r>
        <w:rPr/>
        <w:t xml:space="preserve"> empowerment.   </w:t>
      </w:r>
    </w:p>
    <w:p>
      <w:pPr>
        <w:spacing w:before="0" w:after="22" w:line="259" w:lineRule="auto"/>
        <w:ind w:left="0" w:right="0" w:firstLine="0"/>
        <w:jc w:val="left"/>
      </w:pPr>
      <w:r>
        <w:rPr/>
        <w:t xml:space="preserve"> </w:t>
      </w:r>
    </w:p>
    <w:p>
      <w:pPr>
        <w:pStyle w:val="normal"/>
        <w:spacing w:before="0" w:after="28" w:line="249" w:lineRule="auto"/>
        <w:ind w:left="-5" w:right="0"/>
      </w:pPr>
      <w:r>
        <w:rPr/>
        <w:t xml:space="preserve">The sequencing of the components is reflected in the RRF (annex 1).  All assessments and studies undertaken will feed into the formulation of a framework on women’s legal and political empowerment.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5" w:right="0"/>
        <w:jc w:val="left"/>
      </w:pPr>
      <w:r>
        <w:rPr>
          <w:rFonts w:cs="Calibri" w:hAnsi="Calibri" w:eastAsia="Calibri" w:ascii="Calibri"/>
        </w:rPr>
        <w:t xml:space="preserve">4.2 Roles </w:t>
      </w:r>
    </w:p>
    <w:p>
      <w:pPr>
        <w:pStyle w:val="normal"/>
        <w:spacing w:before="0" w:after="5" w:line="249" w:lineRule="auto"/>
        <w:ind w:left="-5" w:right="0"/>
      </w:pPr>
      <w:r>
        <w:rPr/>
        <w:t xml:space="preserve">The Democratic Governance SWG secretariat is located in the Ministry of Justice. As the SWG guides effective coordination and implementation of sector policies and strategies so that there is coordination among all the Sector agencies it is envisaged that this project can only function better if primary implementers are the secretariat and hence </w:t>
      </w:r>
      <w:r>
        <w:rPr/>
        <w:t xml:space="preserve">the Ministry of Justice. The Ministry will work hand in hand with the Office of the Ombudsman where the Democratic Accountability subsector is housed in reaching out to targeted institutions in both the Justice and Democratic Accountability Subsectors.  Ministry of Gender will have a supporting role during project implementation and provide technical backstopping to all stages. The the Women’s Caucus of the Malawi National Assembly, the Social and Community Affairs, the Legal Affairs Committee and the Law commission will be part of the respective program components.</w:t>
      </w:r>
      <w:r>
        <w:rPr>
          <w:rFonts w:cs="Times New Roman" w:hAnsi="Times New Roman" w:eastAsia="Times New Roman" w:ascii="Times New Roman"/>
        </w:rPr>
        <w:t xml:space="preserve"> </w:t>
      </w: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5" w:right="0"/>
        <w:jc w:val="left"/>
      </w:pPr>
      <w:r>
        <w:rPr>
          <w:rFonts w:cs="Calibri" w:hAnsi="Calibri" w:eastAsia="Calibri" w:ascii="Calibri"/>
        </w:rPr>
        <w:t xml:space="preserve">4.3 Ownership </w:t>
      </w:r>
    </w:p>
    <w:p>
      <w:pPr>
        <w:pStyle w:val="normal"/>
        <w:spacing w:before="0" w:after="5" w:line="249" w:lineRule="auto"/>
        <w:ind w:left="-5" w:right="0"/>
      </w:pPr>
      <w:r>
        <w:rPr/>
        <w:t xml:space="preserve">The diverse challenges in the democratic governance sector are being addressed by several institutions using different approaches. Some of these institutions have developed strategic plans to guide them on how to discharge their functions, while others do not. Existing and new plans will be scrutinized to ensure that they respond to the need for mainstreaming gender. As daunting as it is, a participatory, consultative, inclusive and Government led process should be used to mainstreaming gender in these plans and programmes informed by baseline evidence on institutional capacity gaps and the needs/expectations of the public; as well as the operational functions of each institutions through which these priorities will be implemented to ensure that it is responsive and relevant.   </w:t>
      </w:r>
    </w:p>
    <w:p>
      <w:pPr>
        <w:spacing w:before="0" w:after="0" w:line="259" w:lineRule="auto"/>
        <w:ind w:left="360" w:right="0" w:firstLine="0"/>
        <w:jc w:val="left"/>
      </w:pPr>
      <w:r>
        <w:rPr/>
        <w:t xml:space="preserve"> </w:t>
      </w:r>
    </w:p>
    <w:p>
      <w:pPr>
        <w:pStyle w:val="normal"/>
        <w:spacing w:before="0" w:after="5" w:line="249" w:lineRule="auto"/>
        <w:ind w:left="-5" w:right="0"/>
      </w:pPr>
      <w:r>
        <w:rPr/>
        <w:t xml:space="preserve">UNDP will continue its coordination role for support to the project through regular, monthly meetings with officials of the implementing institutions to ensure project monitoring, evaluating the impact of activities undertaken, and identifying opportunities for improved performance.</w:t>
      </w:r>
      <w:r>
        <w:rPr>
          <w:rFonts w:cs="Calibri" w:hAnsi="Calibri" w:eastAsia="Calibri" w:ascii="Calibri"/>
        </w:rPr>
        <w:t xml:space="preserve"> </w:t>
      </w:r>
    </w:p>
    <w:p>
      <w:pPr>
        <w:spacing w:before="0" w:after="176" w:line="259" w:lineRule="auto"/>
        <w:ind w:left="0" w:right="0" w:firstLine="0"/>
        <w:jc w:val="left"/>
      </w:pPr>
      <w:r>
        <w:rPr/>
        <w:t xml:space="preserve"> </w:t>
      </w:r>
    </w:p>
    <w:p>
      <w:pPr>
        <w:spacing w:before="0" w:after="0" w:line="259" w:lineRule="auto"/>
        <w:ind w:left="-5" w:right="0"/>
        <w:jc w:val="left"/>
      </w:pPr>
      <w:r>
        <w:rPr>
          <w:rFonts w:cs="Calibri" w:hAnsi="Calibri" w:eastAsia="Calibri" w:ascii="Calibri"/>
        </w:rPr>
        <w:t xml:space="preserve">4.4 Inter Sectoral Coordination  </w:t>
      </w:r>
    </w:p>
    <w:p>
      <w:pPr>
        <w:spacing w:before="0" w:after="0" w:line="259" w:lineRule="auto"/>
        <w:ind w:left="720" w:right="0" w:firstLine="0"/>
        <w:jc w:val="left"/>
      </w:pPr>
      <w:r>
        <w:rPr>
          <w:rFonts w:cs="Times New Roman" w:hAnsi="Times New Roman" w:eastAsia="Times New Roman" w:ascii="Times New Roman"/>
        </w:rPr>
        <w:t xml:space="preserve"> </w:t>
      </w:r>
    </w:p>
    <w:p>
      <w:pPr>
        <w:pStyle w:val="normal"/>
        <w:spacing w:before="0" w:after="5" w:line="249" w:lineRule="auto"/>
        <w:ind w:left="-5" w:right="0"/>
      </w:pPr>
      <w:r>
        <w:rPr/>
        <w:t xml:space="preserve">The established management structure for the Democratic Governance Sector should identify ways to strengthen inter-sectoral dialogue with other relevant sector working groups especially gender SWG so the mainstreaming efforts fall within the realms of the national framework. Strategic partnerships and cross representation to the respective sectors should therefore be identified and adopted where appropriate to allow institutions with dual roles in both sectors to participate in and to facilitate strategic discussions between the Sector.  </w:t>
      </w:r>
    </w:p>
    <w:p>
      <w:pPr>
        <w:pStyle w:val="normal"/>
        <w:spacing w:before="0" w:after="5" w:line="249" w:lineRule="auto"/>
        <w:ind w:left="-5" w:right="0"/>
      </w:pPr>
      <w:r>
        <w:rPr/>
        <w:t xml:space="preserve">The project, which will be implemented in cooperation with different stakeholders, will initially establish a task force comprising of all the project stakeholders, UNDP, and Non State Actors.  The task force will meet on a regular basis or as when need arise. </w:t>
      </w:r>
    </w:p>
    <w:p>
      <w:pPr>
        <w:pStyle w:val="normal"/>
        <w:spacing w:before="0" w:after="5" w:line="249" w:lineRule="auto"/>
        <w:ind w:left="-5" w:right="0"/>
      </w:pPr>
      <w:r>
        <w:rPr/>
        <w:t xml:space="preserve">The task force will discuss the implementation of the project on any stage based on the work plan and budget. On monitoring and evaluation, the task force will meet every three months to review progress of the project outputs and outcomes, and provide recommendations on the way forward.   </w:t>
      </w:r>
    </w:p>
    <w:p>
      <w:pPr>
        <w:spacing w:before="0" w:after="0" w:line="259" w:lineRule="auto"/>
        <w:ind w:left="0" w:right="0" w:firstLine="0"/>
        <w:jc w:val="left"/>
      </w:pPr>
      <w:r>
        <w:rPr>
          <w:rFonts w:cs="Calibri" w:hAnsi="Calibri" w:eastAsia="Calibri" w:ascii="Calibri"/>
        </w:rPr>
        <w:t xml:space="preserve"> </w:t>
      </w:r>
    </w:p>
    <w:p>
      <w:pPr>
        <w:numPr>
          <w:ilvl w:val="0"/>
          <w:numId w:val="4"/>
        </w:numPr>
        <w:spacing w:before="0" w:after="0" w:line="259" w:lineRule="auto"/>
        <w:ind w:left="353" w:right="0" w:hanging="353"/>
        <w:jc w:val="left"/>
      </w:pPr>
      <w:r>
        <w:rPr>
          <w:rFonts w:cs="Calibri" w:hAnsi="Calibri" w:eastAsia="Calibri" w:ascii="Calibri"/>
        </w:rPr>
        <w:t xml:space="preserve">PROJECT MANAGEMENT </w:t>
      </w:r>
    </w:p>
    <w:p>
      <w:pPr>
        <w:spacing w:before="0" w:after="0" w:line="259" w:lineRule="auto"/>
        <w:ind w:left="0" w:right="0" w:firstLine="0"/>
        <w:jc w:val="left"/>
      </w:pPr>
      <w:r>
        <w:rPr>
          <w:rFonts w:cs="Calibri" w:hAnsi="Calibri" w:eastAsia="Calibri" w:ascii="Calibri"/>
        </w:rPr>
        <w:t xml:space="preserve"> </w:t>
      </w:r>
    </w:p>
    <w:p>
      <w:pPr>
        <w:numPr>
          <w:ilvl w:val="1"/>
          <w:numId w:val="4"/>
        </w:numPr>
        <w:spacing w:before="0" w:after="0" w:line="259" w:lineRule="auto"/>
        <w:ind w:left="1085" w:right="0" w:hanging="365"/>
        <w:jc w:val="left"/>
      </w:pPr>
      <w:r>
        <w:rPr>
          <w:rFonts w:cs="Calibri" w:hAnsi="Calibri" w:eastAsia="Calibri" w:ascii="Calibri"/>
        </w:rPr>
        <w:t xml:space="preserve">Project Approach  </w:t>
      </w:r>
    </w:p>
    <w:p>
      <w:pPr>
        <w:spacing w:before="0" w:after="0" w:line="240" w:lineRule="auto"/>
        <w:ind w:left="-5" w:right="0"/>
        <w:jc w:val="left"/>
      </w:pPr>
      <w:r>
        <w:rPr/>
        <w:t xml:space="preserve">The project will be implemented under National Implementation modality (NIM) under  the UNDP Access to Justice project. The Project Support Document will be approved by stakeholders through a Local Appraisal Committee (LPAC).  After submission of the LPAC minutes and final DGTTF project proposal, the project team and implementing partners are requested to confirm that all parties are prepared to begin implementation no later than March 2011.  </w:t>
      </w:r>
    </w:p>
    <w:p>
      <w:pPr>
        <w:spacing w:before="0" w:after="0" w:line="259" w:lineRule="auto"/>
        <w:ind w:left="0" w:right="0" w:firstLine="0"/>
        <w:jc w:val="left"/>
      </w:pPr>
      <w:r>
        <w:rPr/>
        <w:t xml:space="preserve">  </w:t>
      </w:r>
    </w:p>
    <w:p>
      <w:pPr>
        <w:numPr>
          <w:ilvl w:val="2"/>
          <w:numId w:val="4"/>
        </w:numPr>
        <w:spacing w:before="0" w:after="0" w:line="259" w:lineRule="auto"/>
        <w:ind w:left="1990" w:right="0" w:hanging="550"/>
        <w:jc w:val="left"/>
      </w:pPr>
      <w:r>
        <w:rPr>
          <w:rFonts w:cs="Calibri" w:hAnsi="Calibri" w:eastAsia="Calibri" w:ascii="Calibri"/>
        </w:rPr>
        <w:t xml:space="preserve">The Government of Malawi  </w:t>
      </w:r>
    </w:p>
    <w:p>
      <w:pPr>
        <w:spacing w:before="0" w:after="0" w:line="240" w:lineRule="auto"/>
        <w:ind w:left="-5" w:right="0"/>
        <w:jc w:val="left"/>
      </w:pPr>
      <w:r>
        <w:rPr/>
        <w:t xml:space="preserve">The Government of Malawi here represented by Ministry of Justice and Constitutional affairs is responsible and can be held accountable for the program implementation. The PPU in MoJCA will report on regular basis to UNDP on the financial situation and program implementation following UNDP corporate reporting requirements. </w:t>
      </w:r>
    </w:p>
    <w:p>
      <w:pPr>
        <w:spacing w:before="0" w:after="0" w:line="259" w:lineRule="auto"/>
        <w:ind w:left="360" w:right="0" w:firstLine="0"/>
        <w:jc w:val="left"/>
      </w:pPr>
      <w:r>
        <w:rPr/>
        <w:t xml:space="preserve"> </w:t>
      </w:r>
    </w:p>
    <w:p>
      <w:pPr>
        <w:numPr>
          <w:ilvl w:val="2"/>
          <w:numId w:val="4"/>
        </w:numPr>
        <w:spacing w:before="0" w:after="0" w:line="259" w:lineRule="auto"/>
        <w:ind w:left="1990" w:right="0" w:hanging="550"/>
        <w:jc w:val="left"/>
      </w:pPr>
      <w:r>
        <w:rPr>
          <w:rFonts w:cs="Calibri" w:hAnsi="Calibri" w:eastAsia="Calibri" w:ascii="Calibri"/>
        </w:rPr>
        <w:t xml:space="preserve">The United Nations Development Program </w:t>
      </w:r>
    </w:p>
    <w:p>
      <w:pPr>
        <w:pStyle w:val="normal"/>
        <w:spacing w:before="0" w:after="5" w:line="249" w:lineRule="auto"/>
        <w:ind w:left="-5" w:right="0"/>
      </w:pPr>
      <w:r>
        <w:rPr/>
        <w:t xml:space="preserve">UNDP will provide technical and financial support to the project. The UNDP becomes directly responsible for procurement of goods and services in accordance with its corporate guidelines. These emphasize transparency, competitive selection of vendors and direct accountability for use of resources. All procurement and recruitment processes will be undertaken by UNDP based on a substantive and documented agreement (TOR’s) between MoJ and UNDP, especially on the specifications. UNDP is responsible for the adequate and timely disbursement of funds via advance payments or direct payment modality.  </w:t>
      </w:r>
    </w:p>
    <w:p>
      <w:pPr>
        <w:spacing w:before="0" w:after="0" w:line="259" w:lineRule="auto"/>
        <w:ind w:left="0" w:right="0" w:firstLine="0"/>
        <w:jc w:val="left"/>
      </w:pPr>
      <w:r>
        <w:rPr>
          <w:sz w:val="20"/>
        </w:rPr>
        <w:t xml:space="preserve"> </w:t>
      </w:r>
    </w:p>
    <w:p>
      <w:pPr>
        <w:spacing w:before="0" w:after="0" w:line="259" w:lineRule="auto"/>
        <w:ind w:left="360" w:right="0" w:firstLine="0"/>
        <w:jc w:val="left"/>
      </w:pPr>
      <w:r>
        <w:rPr>
          <w:sz w:val="20"/>
        </w:rPr>
        <w:t xml:space="preserve"> </w:t>
      </w:r>
    </w:p>
    <w:p>
      <w:pPr>
        <w:spacing w:before="0" w:after="21" w:line="259" w:lineRule="auto"/>
        <w:ind w:left="360" w:right="0" w:firstLine="0"/>
        <w:jc w:val="left"/>
      </w:pPr>
      <w:r>
        <w:rPr>
          <w:rFonts w:cs="Calibri" w:hAnsi="Calibri" w:eastAsia="Calibri" w:ascii="Calibri"/>
          <w:sz w:val="20"/>
        </w:rPr>
        <w:t xml:space="preserve"> </w:t>
      </w:r>
    </w:p>
    <w:p>
      <w:pPr>
        <w:numPr>
          <w:ilvl w:val="0"/>
          <w:numId w:val="4"/>
        </w:numPr>
        <w:spacing w:before="0" w:after="0" w:line="259" w:lineRule="auto"/>
        <w:ind w:left="353" w:right="0" w:hanging="353"/>
        <w:jc w:val="left"/>
      </w:pPr>
      <w:r>
        <w:rPr>
          <w:rFonts w:cs="Calibri" w:hAnsi="Calibri" w:eastAsia="Calibri" w:ascii="Calibri"/>
        </w:rPr>
        <w:t xml:space="preserve">MONITORING, EVALUATION AND REPORTING  </w:t>
      </w:r>
    </w:p>
    <w:p>
      <w:pPr>
        <w:pStyle w:val="normal"/>
        <w:spacing w:before="0" w:after="5" w:line="249" w:lineRule="auto"/>
        <w:ind w:left="-5" w:right="0"/>
      </w:pPr>
      <w:r>
        <w:rPr/>
        <w:t xml:space="preserve">The overarching institution for monitoring implementation of the project will be UNDP in close collaboration with the MoJCA and Sector Stakeholders involved. </w:t>
      </w:r>
    </w:p>
    <w:p>
      <w:pPr>
        <w:spacing w:before="0" w:after="0" w:line="259" w:lineRule="auto"/>
        <w:ind w:left="427" w:right="0" w:firstLine="0"/>
        <w:jc w:val="left"/>
      </w:pPr>
      <w:r>
        <w:rPr/>
        <w:t xml:space="preserve"> </w:t>
      </w:r>
    </w:p>
    <w:p>
      <w:pPr>
        <w:pStyle w:val="normal"/>
        <w:spacing w:before="0" w:after="5" w:line="249" w:lineRule="auto"/>
        <w:ind w:left="-5" w:right="0"/>
      </w:pPr>
      <w:r>
        <w:rPr/>
        <w:t xml:space="preserve">Ministry of Justice will be responsible for producing regular performance reports in accordance with DGTTF reporting requirements.  The reports will comprise a quarterly technical report, a monthly financial report, and monthly updates on project issues and progress to be presented to the UNDP. The reports will contain a summary of activities supported by the project, information on progress achieved as well as constraints encountered and action taken to address them. An evaluation of the project will be undertaken in 2012 after completion of the project.</w:t>
      </w:r>
      <w:r>
        <w:rPr/>
        <w:t xml:space="preserve"> </w:t>
      </w:r>
      <w:r>
        <w:rPr>
          <w:rFonts w:cs="Calibri" w:hAnsi="Calibri" w:eastAsia="Calibri" w:ascii="Calibri"/>
        </w:rPr>
        <w:t xml:space="preserve"> </w:t>
      </w:r>
    </w:p>
    <w:p>
      <w:pPr>
        <w:spacing w:before="0" w:after="0" w:line="259" w:lineRule="auto"/>
        <w:ind w:left="427" w:right="0" w:firstLine="0"/>
        <w:jc w:val="left"/>
      </w:pPr>
      <w:r>
        <w:rPr>
          <w:sz w:val="20"/>
        </w:rPr>
        <w:t xml:space="preserve"> </w:t>
      </w:r>
    </w:p>
    <w:p>
      <w:pPr>
        <w:spacing w:before="0" w:after="0" w:line="259" w:lineRule="auto"/>
        <w:ind w:left="427" w:right="0" w:firstLine="0"/>
        <w:jc w:val="left"/>
      </w:pPr>
      <w:r>
        <w:rPr>
          <w:sz w:val="20"/>
        </w:rPr>
        <w:t xml:space="preserve"> </w:t>
      </w:r>
    </w:p>
    <w:p>
      <w:pPr>
        <w:spacing w:before="0" w:after="0" w:line="259" w:lineRule="auto"/>
        <w:ind w:left="427" w:right="0" w:firstLine="0"/>
        <w:jc w:val="left"/>
      </w:pPr>
      <w:r>
        <w:rPr>
          <w:sz w:val="20"/>
        </w:rPr>
        <w:t xml:space="preserve"> </w:t>
      </w:r>
    </w:p>
    <w:p>
      <w:pPr>
        <w:spacing w:before="0" w:after="0" w:line="259" w:lineRule="auto"/>
        <w:ind w:left="427" w:right="0" w:firstLine="0"/>
        <w:jc w:val="left"/>
      </w:pPr>
      <w:r>
        <w:rPr>
          <w:sz w:val="20"/>
        </w:rPr>
        <w:t xml:space="preserve"> </w:t>
      </w:r>
    </w:p>
    <w:p>
      <w:pPr>
        <w:spacing w:before="0" w:after="0" w:line="259" w:lineRule="auto"/>
        <w:ind w:left="427" w:right="0" w:firstLine="0"/>
        <w:jc w:val="left"/>
      </w:pPr>
      <w:r>
        <w:rPr>
          <w:sz w:val="20"/>
        </w:rPr>
        <w:t xml:space="preserve"> </w:t>
      </w:r>
    </w:p>
    <w:p>
      <w:pPr>
        <w:spacing w:before="0" w:after="0" w:line="259" w:lineRule="auto"/>
        <w:ind w:left="0" w:right="0" w:firstLine="0"/>
        <w:jc w:val="left"/>
      </w:pPr>
      <w:r>
        <w:rPr>
          <w:rFonts w:cs="Calibri" w:hAnsi="Calibri" w:eastAsia="Calibri" w:ascii="Calibri"/>
          <w:sz w:val="20"/>
        </w:rPr>
        <w:t xml:space="preserve"> </w:t>
      </w:r>
    </w:p>
    <w:p>
      <w:pPr>
        <w:numPr>
          <w:ilvl w:val="0"/>
          <w:numId w:val="4"/>
        </w:numPr>
        <w:spacing w:before="0" w:after="0" w:line="259" w:lineRule="auto"/>
        <w:ind w:left="353" w:right="0" w:hanging="353"/>
        <w:jc w:val="left"/>
      </w:pPr>
      <w:r>
        <w:rPr>
          <w:rFonts w:cs="Calibri" w:hAnsi="Calibri" w:eastAsia="Calibri" w:ascii="Calibri"/>
        </w:rPr>
        <w:t xml:space="preserve">AUDITING </w:t>
      </w:r>
    </w:p>
    <w:p>
      <w:pPr>
        <w:spacing w:before="0" w:after="0" w:line="240" w:lineRule="auto"/>
        <w:ind w:left="-5" w:right="0"/>
        <w:jc w:val="left"/>
      </w:pPr>
      <w:r>
        <w:rPr/>
        <w:t xml:space="preserve">The project shall be subject to the internal and external auditing procedures laid down in the Financial Regulations, Rules and directives of UNDP during the first quarter of 2012. UNDP will ensure that all the audit recommendations and action points are duly implemented.  </w:t>
      </w:r>
    </w:p>
    <w:p>
      <w:pPr>
        <w:spacing w:before="0" w:after="0" w:line="259" w:lineRule="auto"/>
        <w:ind w:left="0" w:right="0" w:firstLine="0"/>
        <w:jc w:val="left"/>
      </w:pPr>
      <w:r>
        <w:rPr>
          <w:rFonts w:cs="Calibri" w:hAnsi="Calibri" w:eastAsia="Calibri" w:ascii="Calibri"/>
          <w:sz w:val="20"/>
        </w:rPr>
        <w:t xml:space="preserve"> </w:t>
      </w:r>
    </w:p>
    <w:p>
      <w:pPr>
        <w:spacing w:before="0" w:after="22" w:line="259" w:lineRule="auto"/>
        <w:ind w:left="0" w:right="0" w:firstLine="0"/>
        <w:jc w:val="left"/>
      </w:pPr>
      <w:r>
        <w:rPr>
          <w:sz w:val="20"/>
        </w:rPr>
        <w:t xml:space="preserve"> </w:t>
      </w:r>
    </w:p>
    <w:p>
      <w:pPr>
        <w:numPr>
          <w:ilvl w:val="0"/>
          <w:numId w:val="4"/>
        </w:numPr>
        <w:spacing w:before="0" w:after="0" w:line="259" w:lineRule="auto"/>
        <w:ind w:left="353" w:right="0" w:hanging="353"/>
        <w:jc w:val="left"/>
      </w:pPr>
      <w:r>
        <w:rPr>
          <w:rFonts w:cs="Calibri" w:hAnsi="Calibri" w:eastAsia="Calibri" w:ascii="Calibri"/>
        </w:rPr>
        <w:t xml:space="preserve">FUNDING</w:t>
      </w:r>
      <w:r>
        <w:rPr>
          <w:rFonts w:cs="Calibri" w:hAnsi="Calibri" w:eastAsia="Calibri" w:ascii="Calibri"/>
          <w:sz w:val="20"/>
        </w:rPr>
        <w:t xml:space="preserve"> </w:t>
      </w:r>
    </w:p>
    <w:p>
      <w:pPr>
        <w:pStyle w:val="normal"/>
        <w:spacing w:before="0" w:after="5" w:line="249" w:lineRule="auto"/>
        <w:ind w:left="-5" w:right="0"/>
      </w:pPr>
      <w:r>
        <w:rPr/>
        <w:t xml:space="preserve">The project will be funded by the Democratic Governance Trust Fund (DGTTF) edition 2011/2012. The total funding provided the DGTTF will not extend USD 350,000 over the project period from 2011 to 2012. </w:t>
      </w:r>
    </w:p>
    <w:p>
      <w:pPr>
        <w:pStyle w:val="normal"/>
        <w:spacing w:before="0" w:after="5" w:line="249" w:lineRule="auto"/>
        <w:ind w:left="-5" w:right="0"/>
      </w:pPr>
      <w:r>
        <w:rPr/>
        <w:t xml:space="preserve">The financial contribution will be coordinated and administered by Ministry of Justice in accordance with UNDP corporate procedures which include technical and financial reports at regular intervals throughout the duration of the project.  </w:t>
      </w:r>
    </w:p>
    <w:p>
      <w:pPr>
        <w:spacing w:before="0" w:after="0" w:line="259" w:lineRule="auto"/>
        <w:ind w:left="0" w:right="0" w:firstLine="0"/>
        <w:jc w:val="left"/>
      </w:pPr>
      <w:r>
        <w:rPr>
          <w:sz w:val="20"/>
        </w:rPr>
        <w:t xml:space="preserve">  </w:t>
      </w:r>
    </w:p>
    <w:p>
      <w:pPr>
        <w:spacing w:before="0" w:after="21" w:line="259" w:lineRule="auto"/>
        <w:ind w:left="0" w:right="0" w:firstLine="0"/>
        <w:jc w:val="left"/>
      </w:pPr>
      <w:r>
        <w:rPr>
          <w:sz w:val="20"/>
        </w:rPr>
        <w:t xml:space="preserve"> </w:t>
      </w:r>
    </w:p>
    <w:p>
      <w:pPr>
        <w:numPr>
          <w:ilvl w:val="0"/>
          <w:numId w:val="4"/>
        </w:numPr>
        <w:spacing w:before="0" w:after="56" w:line="259" w:lineRule="auto"/>
        <w:ind w:left="353" w:right="0" w:hanging="353"/>
        <w:jc w:val="left"/>
      </w:pPr>
      <w:r>
        <w:rPr>
          <w:rFonts w:cs="Calibri" w:hAnsi="Calibri" w:eastAsia="Calibri" w:ascii="Calibri"/>
        </w:rPr>
        <w:t xml:space="preserve">RISKS/ Assumptions:  </w:t>
      </w:r>
    </w:p>
    <w:p>
      <w:pPr>
        <w:pStyle w:val="normal"/>
        <w:numPr>
          <w:ilvl w:val="3"/>
          <w:numId w:val="5"/>
        </w:numPr>
        <w:spacing w:before="0" w:after="70" w:line="249" w:lineRule="auto"/>
        <w:ind w:left="720" w:right="0" w:hanging="360"/>
      </w:pPr>
      <w:r>
        <w:rPr/>
        <w:t xml:space="preserve">There is a further risk/ assumption that gender mainstreaming might be interpreted as a women’s issue as opposed to using it as a tool that can bridge disparities between men and women to advance development </w:t>
      </w:r>
    </w:p>
    <w:p>
      <w:pPr>
        <w:pStyle w:val="normal"/>
        <w:numPr>
          <w:ilvl w:val="3"/>
          <w:numId w:val="5"/>
        </w:numPr>
        <w:spacing w:before="0" w:after="5" w:line="249" w:lineRule="auto"/>
        <w:ind w:left="720" w:right="0" w:hanging="360"/>
      </w:pPr>
      <w:r>
        <w:rPr/>
        <w:t xml:space="preserve">There is a risk that there might be unequal representation of women in the DG sector activities and this is likely to be attributed to the limited number of women practitioners in the sector, which may also be linked to some cultural hindrances that may not have allowed women to actively participate in their own development. A detailed risk log can be found under annex 3. </w:t>
      </w:r>
    </w:p>
    <w:p>
      <w:pPr>
        <w:spacing w:before="0" w:after="0" w:line="259" w:lineRule="auto"/>
        <w:ind w:left="0" w:right="0" w:firstLine="0"/>
        <w:jc w:val="left"/>
      </w:pPr>
      <w:r>
        <w:rPr>
          <w:rFonts w:cs="Calibri" w:hAnsi="Calibri" w:eastAsia="Calibri" w:ascii="Calibri"/>
          <w:sz w:val="20"/>
        </w:rPr>
        <w:t xml:space="preserve"> </w:t>
      </w:r>
    </w:p>
    <w:p>
      <w:pPr>
        <w:spacing w:before="0" w:after="260" w:line="259" w:lineRule="auto"/>
        <w:ind w:left="0" w:right="0" w:firstLine="0"/>
        <w:jc w:val="left"/>
      </w:pPr>
      <w:r>
        <w:rPr>
          <w:sz w:val="20"/>
        </w:rPr>
        <w:t xml:space="preserve"> </w:t>
      </w:r>
    </w:p>
    <w:p>
      <w:pPr>
        <w:numPr>
          <w:ilvl w:val="0"/>
          <w:numId w:val="4"/>
        </w:numPr>
        <w:spacing w:before="0" w:after="39" w:line="259" w:lineRule="auto"/>
        <w:ind w:left="353" w:right="0" w:hanging="353"/>
        <w:jc w:val="left"/>
      </w:pPr>
      <w:r>
        <w:rPr>
          <w:rFonts w:cs="Calibri" w:hAnsi="Calibri" w:eastAsia="Calibri" w:ascii="Calibri"/>
        </w:rPr>
        <w:t xml:space="preserve">LEGAL</w:t>
      </w:r>
      <w:r>
        <w:rPr>
          <w:rFonts w:cs="Calibri" w:hAnsi="Calibri" w:eastAsia="Calibri" w:ascii="Calibri"/>
          <w:sz w:val="19"/>
        </w:rPr>
        <w:t xml:space="preserve"> </w:t>
      </w:r>
      <w:r>
        <w:rPr>
          <w:rFonts w:cs="Calibri" w:hAnsi="Calibri" w:eastAsia="Calibri" w:ascii="Calibri"/>
        </w:rPr>
        <w:t xml:space="preserve">CONTEXT </w:t>
      </w:r>
    </w:p>
    <w:p>
      <w:pPr>
        <w:pStyle w:val="normal"/>
        <w:spacing w:before="0" w:after="5" w:line="249" w:lineRule="auto"/>
        <w:ind w:left="-5" w:right="0"/>
      </w:pPr>
      <w:r>
        <w:rPr/>
        <w:t xml:space="preserve">This Project Document is the instrument referred to in Article 1 of the Standard Basic Agreement between the Government of the Republic of Malawi (herein called the Government) and the United Nations Development Program (herein called UNDP) signed on 15th July 1977.   </w:t>
      </w:r>
    </w:p>
    <w:p>
      <w:pPr>
        <w:pStyle w:val="normal"/>
        <w:spacing w:before="0" w:after="111" w:line="249" w:lineRule="auto"/>
        <w:ind w:left="-5" w:right="136"/>
      </w:pPr>
      <w:r>
        <w:rPr/>
        <w:t xml:space="preserve">This document together with the CPAP signed by the Government and UNDP which is incorporated by reference constitute together a Project Document as referred to in the SBAA and all CPAP provisions apply to this document.   </w:t>
      </w:r>
    </w:p>
    <w:p>
      <w:pPr>
        <w:pStyle w:val="normal"/>
        <w:spacing w:before="0" w:after="133" w:line="249" w:lineRule="auto"/>
        <w:ind w:left="-5" w:right="135"/>
      </w:pPr>
      <w:r>
        <w:rPr/>
        <w:t xml:space="preserve">Consistent with the Article III of the Standard Basic Assistance Agreement, the responsibility for the safety and security of the implementing partner and its personnel and property, and of UNDP’s property in the implementing partner’s custody, rests with the implementing partner.  The implementing partner shall: </w:t>
      </w:r>
    </w:p>
    <w:p>
      <w:pPr>
        <w:pStyle w:val="normal"/>
        <w:numPr>
          <w:ilvl w:val="0"/>
          <w:numId w:val="6"/>
        </w:numPr>
        <w:spacing w:before="0" w:after="5" w:line="249" w:lineRule="auto"/>
        <w:ind w:left="360" w:right="0" w:hanging="360"/>
      </w:pPr>
      <w:r>
        <w:rPr/>
        <w:t xml:space="preserve">put in place an appropriate security plan and maintain the security plan, taking into account the security situation in the country where the project is being carried; </w:t>
      </w:r>
    </w:p>
    <w:p>
      <w:pPr>
        <w:pStyle w:val="normal"/>
        <w:numPr>
          <w:ilvl w:val="0"/>
          <w:numId w:val="6"/>
        </w:numPr>
        <w:spacing w:before="0" w:after="110" w:line="249" w:lineRule="auto"/>
        <w:ind w:left="360" w:right="0" w:hanging="360"/>
      </w:pPr>
      <w:r>
        <w:rPr/>
        <w:t xml:space="preserve">assume all risks and liabilities related to the implementing partner’s security, and the full implementation of the security plan. </w:t>
      </w:r>
    </w:p>
    <w:p>
      <w:pPr>
        <w:pStyle w:val="normal"/>
        <w:spacing w:before="0" w:after="111" w:line="249" w:lineRule="auto"/>
        <w:ind w:left="-5" w:right="137"/>
      </w:pPr>
      <w:r>
        <w:rPr/>
        <w:t xml:space="preserve">UNDP reserves the right to verify whether such a plan is in place, and to suggest modifications to the plan when necessary. Failure to maintain and implement an appropriate security plan as required hereunder shall be deemed a breach of this agreement. </w:t>
      </w:r>
    </w:p>
    <w:p>
      <w:pPr>
        <w:pStyle w:val="normal"/>
        <w:spacing w:before="0" w:after="110" w:line="249" w:lineRule="auto"/>
        <w:ind w:left="-5" w:right="136"/>
      </w:pPr>
      <w:r>
        <w:rPr/>
        <w:t xml:space="preserve">The implementing partner agrees to undertake all reasonable efforts to ensure that none of the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w:t>
      </w:r>
      <w:r>
        <w:rPr/>
        <w:t xml:space="preserve">(1999).  </w:t>
      </w:r>
    </w:p>
    <w:p>
      <w:pPr>
        <w:pStyle w:val="normal"/>
        <w:spacing w:before="0" w:after="120" w:line="249" w:lineRule="auto"/>
        <w:ind w:left="-5" w:right="722"/>
      </w:pPr>
      <w:r>
        <w:rPr/>
        <w:t xml:space="preserve">Based on an agreement between the signatories, revisions may be made to the project document to cater for increases in costs due to inflation or as a result of the need for expenditure flexibility.</w:t>
      </w:r>
      <w:r>
        <w:rPr>
          <w:rFonts w:cs="Times New Roman" w:hAnsi="Times New Roman" w:eastAsia="Times New Roman" w:ascii="Times New Roman"/>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sz w:val="22"/>
        </w:rPr>
        <w:t xml:space="preserve"> </w:t>
      </w:r>
    </w:p>
    <w:p>
      <w:pPr>
        <w:spacing w:before="0" w:after="0" w:line="259" w:lineRule="auto"/>
        <w:ind w:left="0" w:right="0" w:firstLine="0"/>
        <w:jc w:val="left"/>
      </w:pPr>
      <w:r>
        <w:rPr>
          <w:sz w:val="22"/>
        </w:rPr>
        <w:t xml:space="preserve"> </w:t>
      </w:r>
    </w:p>
    <w:p>
      <w:pPr>
        <w:spacing w:before="0" w:after="0" w:line="259" w:lineRule="auto"/>
        <w:ind w:left="0" w:right="0" w:firstLine="0"/>
        <w:jc w:val="left"/>
      </w:pPr>
      <w:r>
        <w:rPr>
          <w:sz w:val="22"/>
        </w:rPr>
        <w:t xml:space="preserve"> 	 </w:t>
      </w:r>
    </w:p>
    <w:p>
      <w:pPr>
        <w:spacing w:before="0" w:after="0" w:line="259" w:lineRule="auto"/>
        <w:ind w:left="0" w:right="0" w:firstLine="0"/>
        <w:jc w:val="left"/>
      </w:pPr>
      <w:r>
        <w:rPr>
          <w:sz w:val="22"/>
        </w:rPr>
        <w:t xml:space="preserve"> </w:t>
      </w:r>
    </w:p>
    <w:p>
      <w:pPr>
        <w:spacing w:before="0" w:after="0" w:line="259" w:lineRule="auto"/>
        <w:ind w:left="0" w:right="0" w:firstLine="0"/>
        <w:jc w:val="left"/>
      </w:pPr>
      <w:r>
        <w:rPr>
          <w:sz w:val="22"/>
        </w:rPr>
        <w:t xml:space="preserve"> </w:t>
      </w:r>
    </w:p>
    <w:p>
      <w:pPr>
        <w:sectPr>
          <w:footerReference w:type="even" r:id="rId9"/>
          <w:footerReference w:type="default" r:id="rId8"/>
          <w:footerReference w:type="first" r:id="rId7"/>
          <w:pgSz w:w="12240" w:h="15840" w:orient="portrait"/>
          <w:pgMar w:footer="728" w:left="1800" w:top="1494" w:right="1797" w:bottom="1532"/>
          <w:pgNumType w:fmt="decimal"/>
          <w:cols/>
        </w:sectPr>
      </w:pPr>
    </w:p>
    <w:tbl>
      <w:tblPr>
        <w:tblStyle w:val="TableGrid"/>
        <w:tblpPr w:horzAnchor="page" w:tblpX="710" w:vertAnchor="page" w:tblpY="840"/>
        <w:tblOverlap w:val="never"/>
        <w:tblW w:w="15128" w:type="dxa"/>
        <w:tblInd w:w="0" w:type="dxa"/>
        <w:tblCellMar>
          <w:top w:w="39" w:type="dxa"/>
          <w:left w:w="0" w:type="dxa"/>
          <w:bottom w:w="21" w:type="dxa"/>
          <w:right w:w="0" w:type="dxa"/>
        </w:tblCellMar>
      </w:tblPr>
      <w:tblGrid>
        <w:gridCol w:w="2879"/>
        <w:gridCol w:w="2700"/>
        <w:gridCol w:w="4782"/>
        <w:gridCol w:w="1559"/>
        <w:gridCol w:w="1314"/>
        <w:gridCol w:w="387"/>
        <w:gridCol w:w="1282"/>
        <w:gridCol w:w="227"/>
      </w:tblGrid>
      <w:tr>
        <w:trPr>
          <w:trHeight w:val="499" w:hRule="atLeast"/>
        </w:trPr>
        <w:tc>
          <w:tcPr>
            <w:tcW w:w="13620" w:type="dxa"/>
            <w:gridSpan w:val="6"/>
            <w:tcBorders>
              <w:top w:val="single" w:sz="4" w:color="000000"/>
              <w:left w:val="single" w:sz="4" w:color="000000"/>
              <w:bottom w:val="single" w:sz="4" w:color="000000"/>
              <w:right w:val="nil"/>
            </w:tcBorders>
            <w:vAlign w:val="top"/>
          </w:tcPr>
          <w:p>
            <w:pPr>
              <w:spacing w:before="0" w:after="21" w:line="259" w:lineRule="auto"/>
              <w:ind w:left="106" w:right="0" w:firstLine="0"/>
              <w:jc w:val="left"/>
            </w:pPr>
            <w:r>
              <w:rPr>
                <w:rFonts w:cs="Calibri" w:hAnsi="Calibri" w:eastAsia="Calibri" w:ascii="Calibri"/>
                <w:sz w:val="18"/>
              </w:rPr>
              <w:t xml:space="preserve">Intended Outcome as stated in the CPAP Results and Resource Framework:  </w:t>
            </w:r>
          </w:p>
          <w:p>
            <w:pPr>
              <w:spacing w:before="0" w:after="0" w:line="259" w:lineRule="auto"/>
              <w:ind w:left="106" w:right="0" w:firstLine="0"/>
              <w:jc w:val="left"/>
            </w:pPr>
            <w:r>
              <w:rPr>
                <w:sz w:val="22"/>
              </w:rPr>
              <w:t xml:space="preserve">An informed public actively claiming good governance and human rights by 2011 </w:t>
            </w:r>
            <w:r>
              <w:rPr>
                <w:rFonts w:cs="Calibri" w:hAnsi="Calibri" w:eastAsia="Calibri" w:ascii="Calibri"/>
                <w:sz w:val="22"/>
              </w:rPr>
              <w:t xml:space="preserve"> </w:t>
            </w:r>
          </w:p>
        </w:tc>
        <w:tc>
          <w:tcPr>
            <w:tcW w:w="1508" w:type="dxa"/>
            <w:gridSpan w:val="2"/>
            <w:tcBorders>
              <w:top w:val="single" w:sz="4" w:color="000000"/>
              <w:left w:val="nil"/>
              <w:bottom w:val="single" w:sz="4" w:color="000000"/>
              <w:right w:val="single" w:sz="2" w:color="000000"/>
            </w:tcBorders>
            <w:vAlign w:val="center"/>
          </w:tcPr>
          <w:p>
            <w:pPr>
              <w:bidi w:val="0"/>
              <w:spacing w:before="0" w:after="160" w:line="259" w:lineRule="auto"/>
              <w:ind w:left="0" w:right="0" w:firstLine="0"/>
              <w:jc w:val="left"/>
            </w:pPr>
          </w:p>
        </w:tc>
      </w:tr>
      <w:tr>
        <w:trPr>
          <w:trHeight w:val="718" w:hRule="atLeast"/>
        </w:trPr>
        <w:tc>
          <w:tcPr>
            <w:tcW w:w="13620" w:type="dxa"/>
            <w:gridSpan w:val="6"/>
            <w:tcBorders>
              <w:top w:val="single" w:sz="4" w:color="000000"/>
              <w:left w:val="single" w:sz="4" w:color="000000"/>
              <w:bottom w:val="single" w:sz="4" w:color="000000"/>
              <w:right w:val="nil"/>
            </w:tcBorders>
            <w:vAlign w:val="top"/>
          </w:tcPr>
          <w:p>
            <w:pPr>
              <w:spacing w:before="0" w:after="4" w:line="259" w:lineRule="auto"/>
              <w:ind w:left="106" w:right="0" w:firstLine="0"/>
              <w:jc w:val="left"/>
            </w:pPr>
            <w:r>
              <w:rPr>
                <w:rFonts w:cs="Calibri" w:hAnsi="Calibri" w:eastAsia="Calibri" w:ascii="Calibri"/>
                <w:sz w:val="18"/>
              </w:rPr>
              <w:t xml:space="preserve">CPAP Output (s):  </w:t>
            </w:r>
          </w:p>
          <w:p>
            <w:pPr>
              <w:spacing w:before="0" w:after="0" w:line="259" w:lineRule="auto"/>
              <w:ind w:left="106" w:right="0" w:firstLine="0"/>
              <w:jc w:val="left"/>
            </w:pPr>
            <w:r>
              <w:rPr>
                <w:rFonts w:cs="Calibri" w:hAnsi="Calibri" w:eastAsia="Calibri" w:ascii="Calibri"/>
                <w:sz w:val="20"/>
              </w:rPr>
              <w:t xml:space="preserve">Output 4.1:</w:t>
            </w:r>
            <w:r>
              <w:rPr>
                <w:sz w:val="20"/>
              </w:rPr>
              <w:t xml:space="preserve"> Increased access to quality and timely justice services </w:t>
            </w:r>
          </w:p>
          <w:p>
            <w:pPr>
              <w:spacing w:before="0" w:after="0" w:line="259" w:lineRule="auto"/>
              <w:ind w:left="106" w:right="0" w:firstLine="0"/>
              <w:jc w:val="left"/>
            </w:pPr>
            <w:r>
              <w:rPr>
                <w:rFonts w:cs="Calibri" w:hAnsi="Calibri" w:eastAsia="Calibri" w:ascii="Calibri"/>
                <w:sz w:val="20"/>
              </w:rPr>
              <w:t xml:space="preserve">Output 4.3: </w:t>
            </w:r>
            <w:r>
              <w:rPr>
                <w:sz w:val="20"/>
              </w:rPr>
              <w:t xml:space="preserve">Strengthened capacity of Parliament for oversight and legislation</w:t>
            </w:r>
            <w:r>
              <w:rPr>
                <w:rFonts w:cs="Times New Roman" w:hAnsi="Times New Roman" w:eastAsia="Times New Roman" w:ascii="Times New Roman"/>
                <w:sz w:val="20"/>
              </w:rPr>
              <w:t xml:space="preserve"> </w:t>
            </w:r>
          </w:p>
        </w:tc>
        <w:tc>
          <w:tcPr>
            <w:tcW w:w="1282" w:type="dxa"/>
            <w:tcBorders>
              <w:top w:val="single" w:sz="4" w:color="000000"/>
              <w:left w:val="nil"/>
              <w:bottom w:val="single" w:sz="4" w:color="000000"/>
              <w:right w:val="single" w:sz="4" w:color="000000"/>
            </w:tcBorders>
            <w:vAlign w:val="center"/>
          </w:tcPr>
          <w:p>
            <w:pPr>
              <w:bidi w:val="0"/>
              <w:spacing w:before="0" w:after="160" w:line="259" w:lineRule="auto"/>
              <w:ind w:left="0" w:right="0" w:firstLine="0"/>
              <w:jc w:val="left"/>
            </w:pPr>
          </w:p>
        </w:tc>
        <w:tc>
          <w:tcPr>
            <w:tcW w:w="227" w:type="dxa"/>
            <w:vMerge w:val="restart"/>
            <w:tcBorders>
              <w:top w:val="single" w:sz="4" w:color="000000"/>
              <w:left w:val="single" w:sz="4" w:color="000000"/>
              <w:bottom w:val="nil"/>
              <w:right w:val="nil"/>
            </w:tcBorders>
            <w:vAlign w:val="center"/>
          </w:tcPr>
          <w:p>
            <w:pPr>
              <w:bidi w:val="0"/>
              <w:spacing w:before="0" w:after="160" w:line="259" w:lineRule="auto"/>
              <w:ind w:left="0" w:right="0" w:firstLine="0"/>
              <w:jc w:val="left"/>
            </w:pPr>
          </w:p>
        </w:tc>
      </w:tr>
      <w:tr>
        <w:trPr>
          <w:trHeight w:val="254" w:hRule="atLeast"/>
        </w:trPr>
        <w:tc>
          <w:tcPr>
            <w:tcW w:w="13620" w:type="dxa"/>
            <w:gridSpan w:val="6"/>
            <w:tcBorders>
              <w:top w:val="single" w:sz="4" w:color="000000"/>
              <w:left w:val="single" w:sz="4" w:color="000000"/>
              <w:bottom w:val="single" w:sz="4" w:color="000000"/>
              <w:right w:val="nil"/>
            </w:tcBorders>
            <w:vAlign w:val="top"/>
          </w:tcPr>
          <w:p>
            <w:pPr>
              <w:spacing w:before="0" w:after="0" w:line="259" w:lineRule="auto"/>
              <w:ind w:left="106" w:right="0" w:firstLine="0"/>
              <w:jc w:val="left"/>
            </w:pPr>
            <w:r>
              <w:rPr>
                <w:rFonts w:cs="Calibri" w:hAnsi="Calibri" w:eastAsia="Calibri" w:ascii="Calibri"/>
                <w:sz w:val="18"/>
              </w:rPr>
              <w:t xml:space="preserve">Partnership Strategy: </w:t>
            </w:r>
            <w:r>
              <w:rPr>
                <w:sz w:val="20"/>
              </w:rPr>
              <w:t xml:space="preserve"> Ministry of Justice and Constitutional Affairs, respective Democratic Governance Sector Stakeholders, Ministry of Gender, Gender SWAP</w:t>
            </w:r>
            <w:r>
              <w:rPr>
                <w:rFonts w:cs="Calibri" w:hAnsi="Calibri" w:eastAsia="Calibri" w:ascii="Calibri"/>
                <w:sz w:val="18"/>
              </w:rPr>
              <w:t xml:space="preserve"> </w:t>
            </w:r>
          </w:p>
        </w:tc>
        <w:tc>
          <w:tcPr>
            <w:tcW w:w="1282" w:type="dxa"/>
            <w:tcBorders>
              <w:top w:val="single" w:sz="4" w:color="000000"/>
              <w:left w:val="nil"/>
              <w:bottom w:val="single" w:sz="4" w:color="000000"/>
              <w:right w:val="single" w:sz="4" w:color="000000"/>
            </w:tcBorders>
            <w:vAlign w:val="bottom"/>
          </w:tcPr>
          <w:p>
            <w:pPr>
              <w:bidi w:val="0"/>
              <w:spacing w:before="0" w:after="160" w:line="259" w:lineRule="auto"/>
              <w:ind w:left="0" w:right="0" w:firstLine="0"/>
              <w:jc w:val="left"/>
            </w:pPr>
          </w:p>
        </w:tc>
        <w:tc>
          <w:tcPr>
            <w:vMerge w:val="continue"/>
            <w:tcBorders>
              <w:top w:val="nil"/>
              <w:left w:val="single" w:sz="4" w:color="000000"/>
              <w:bottom w:val="nil"/>
              <w:right w:val="nil"/>
            </w:tcBorders>
            <w:vAlign w:val="bottom"/>
          </w:tcPr>
          <w:p>
            <w:pPr>
              <w:bidi w:val="0"/>
              <w:spacing w:before="0" w:after="160" w:line="259" w:lineRule="auto"/>
              <w:ind w:left="0" w:right="0" w:firstLine="0"/>
              <w:jc w:val="left"/>
            </w:pPr>
          </w:p>
        </w:tc>
      </w:tr>
      <w:tr>
        <w:trPr>
          <w:trHeight w:val="232" w:hRule="atLeast"/>
        </w:trPr>
        <w:tc>
          <w:tcPr>
            <w:tcW w:w="13620" w:type="dxa"/>
            <w:gridSpan w:val="6"/>
            <w:tcBorders>
              <w:top w:val="single" w:sz="4" w:color="000000"/>
              <w:left w:val="single" w:sz="4" w:color="000000"/>
              <w:bottom w:val="single" w:sz="4" w:color="000000"/>
              <w:right w:val="nil"/>
            </w:tcBorders>
            <w:vAlign w:val="top"/>
          </w:tcPr>
          <w:p>
            <w:pPr>
              <w:spacing w:before="0" w:after="0" w:line="259" w:lineRule="auto"/>
              <w:ind w:left="106" w:right="0" w:firstLine="0"/>
              <w:jc w:val="left"/>
            </w:pPr>
            <w:r>
              <w:rPr>
                <w:rFonts w:cs="Calibri" w:hAnsi="Calibri" w:eastAsia="Calibri" w:ascii="Calibri"/>
                <w:sz w:val="18"/>
              </w:rPr>
              <w:t xml:space="preserve">Project title and ID (ATLAS Award ID):  </w:t>
            </w:r>
          </w:p>
        </w:tc>
        <w:tc>
          <w:tcPr>
            <w:tcW w:w="1282" w:type="dxa"/>
            <w:tcBorders>
              <w:top w:val="single" w:sz="4" w:color="000000"/>
              <w:left w:val="nil"/>
              <w:bottom w:val="single" w:sz="4" w:color="000000"/>
              <w:right w:val="single" w:sz="4" w:color="000000"/>
            </w:tcBorders>
            <w:vAlign w:val="center"/>
          </w:tcPr>
          <w:p>
            <w:pPr>
              <w:bidi w:val="0"/>
              <w:spacing w:before="0" w:after="160" w:line="259" w:lineRule="auto"/>
              <w:ind w:left="0" w:right="0" w:firstLine="0"/>
              <w:jc w:val="left"/>
            </w:pPr>
          </w:p>
        </w:tc>
        <w:tc>
          <w:tcPr>
            <w:vMerge w:val="continue"/>
            <w:tcBorders>
              <w:top w:val="nil"/>
              <w:left w:val="single" w:sz="4" w:color="000000"/>
              <w:bottom w:val="nil"/>
              <w:right w:val="nil"/>
            </w:tcBorders>
            <w:vAlign w:val="bottom"/>
          </w:tcPr>
          <w:p>
            <w:pPr>
              <w:bidi w:val="0"/>
              <w:spacing w:before="0" w:after="160" w:line="259" w:lineRule="auto"/>
              <w:ind w:left="0" w:right="0" w:firstLine="0"/>
              <w:jc w:val="left"/>
            </w:pPr>
          </w:p>
        </w:tc>
      </w:tr>
      <w:tr>
        <w:trPr>
          <w:trHeight w:val="446" w:hRule="atLeast"/>
        </w:trPr>
        <w:tc>
          <w:tcPr>
            <w:tcW w:w="2879" w:type="dxa"/>
            <w:tcBorders>
              <w:top w:val="single" w:sz="4" w:color="000000"/>
              <w:left w:val="single" w:sz="4" w:color="000000"/>
              <w:bottom w:val="single" w:sz="4" w:color="000000"/>
              <w:right w:val="single" w:sz="4" w:color="000000"/>
            </w:tcBorders>
            <w:shd w:val="clear" w:fill="ffff99"/>
            <w:vAlign w:val="top"/>
          </w:tcPr>
          <w:p>
            <w:pPr>
              <w:spacing w:before="0" w:after="0" w:line="259" w:lineRule="auto"/>
              <w:ind w:left="106" w:right="0" w:firstLine="0"/>
              <w:jc w:val="left"/>
            </w:pPr>
            <w:r>
              <w:rPr>
                <w:rFonts w:cs="Calibri" w:hAnsi="Calibri" w:eastAsia="Calibri" w:ascii="Calibri"/>
                <w:sz w:val="18"/>
              </w:rPr>
              <w:t xml:space="preserve">INTENDED OUTPUTS </w:t>
            </w:r>
          </w:p>
          <w:p>
            <w:pPr>
              <w:spacing w:before="0" w:after="0" w:line="259" w:lineRule="auto"/>
              <w:ind w:left="106" w:right="0" w:firstLine="0"/>
              <w:jc w:val="left"/>
            </w:pPr>
            <w:r>
              <w:rPr>
                <w:rFonts w:cs="Calibri" w:hAnsi="Calibri" w:eastAsia="Calibri" w:ascii="Calibri"/>
                <w:sz w:val="18"/>
              </w:rPr>
              <w:t xml:space="preserve"> </w:t>
            </w:r>
          </w:p>
        </w:tc>
        <w:tc>
          <w:tcPr>
            <w:tcW w:w="2700" w:type="dxa"/>
            <w:tcBorders>
              <w:top w:val="single" w:sz="4" w:color="000000"/>
              <w:left w:val="single" w:sz="4" w:color="000000"/>
              <w:bottom w:val="single" w:sz="4" w:color="000000"/>
              <w:right w:val="single" w:sz="4" w:color="000000"/>
            </w:tcBorders>
            <w:shd w:val="clear" w:fill="ffff99"/>
            <w:vAlign w:val="top"/>
          </w:tcPr>
          <w:p>
            <w:pPr>
              <w:spacing w:before="0" w:after="0" w:line="259" w:lineRule="auto"/>
              <w:ind w:left="107" w:right="0" w:firstLine="0"/>
              <w:jc w:val="left"/>
            </w:pPr>
            <w:r>
              <w:rPr>
                <w:rFonts w:cs="Calibri" w:hAnsi="Calibri" w:eastAsia="Calibri" w:ascii="Calibri"/>
                <w:sz w:val="18"/>
              </w:rPr>
              <w:t xml:space="preserve">OUTPUT TARGETS FOR (YEARS) </w:t>
            </w:r>
          </w:p>
        </w:tc>
        <w:tc>
          <w:tcPr>
            <w:tcW w:w="4782" w:type="dxa"/>
            <w:tcBorders>
              <w:top w:val="single" w:sz="4" w:color="000000"/>
              <w:left w:val="single" w:sz="4" w:color="000000"/>
              <w:bottom w:val="single" w:sz="4" w:color="000000"/>
              <w:right w:val="single" w:sz="4" w:color="000000"/>
            </w:tcBorders>
            <w:shd w:val="clear" w:fill="ffff99"/>
            <w:vAlign w:val="top"/>
          </w:tcPr>
          <w:p>
            <w:pPr>
              <w:spacing w:before="0" w:after="0" w:line="259" w:lineRule="auto"/>
              <w:ind w:left="107" w:right="0" w:firstLine="0"/>
              <w:jc w:val="left"/>
            </w:pPr>
            <w:r>
              <w:rPr>
                <w:rFonts w:cs="Calibri" w:hAnsi="Calibri" w:eastAsia="Calibri" w:ascii="Calibri"/>
                <w:sz w:val="18"/>
              </w:rPr>
              <w:t xml:space="preserve">INDICATIVE ACTIVITIES </w:t>
            </w:r>
          </w:p>
        </w:tc>
        <w:tc>
          <w:tcPr>
            <w:tcW w:w="1559" w:type="dxa"/>
            <w:tcBorders>
              <w:top w:val="single" w:sz="4" w:color="000000"/>
              <w:left w:val="single" w:sz="4" w:color="000000"/>
              <w:bottom w:val="single" w:sz="4" w:color="000000"/>
              <w:right w:val="single" w:sz="4" w:color="000000"/>
            </w:tcBorders>
            <w:shd w:val="clear" w:fill="ffff99"/>
            <w:vAlign w:val="top"/>
          </w:tcPr>
          <w:p>
            <w:pPr>
              <w:spacing w:before="0" w:after="0" w:line="259" w:lineRule="auto"/>
              <w:ind w:left="108" w:right="0" w:firstLine="0"/>
              <w:jc w:val="left"/>
            </w:pPr>
            <w:r>
              <w:rPr>
                <w:rFonts w:cs="Calibri" w:hAnsi="Calibri" w:eastAsia="Calibri" w:ascii="Calibri"/>
                <w:sz w:val="18"/>
              </w:rPr>
              <w:t xml:space="preserve">RESPONSIBLE </w:t>
            </w:r>
          </w:p>
          <w:p>
            <w:pPr>
              <w:spacing w:before="0" w:after="0" w:line="259" w:lineRule="auto"/>
              <w:ind w:left="108" w:right="0" w:firstLine="0"/>
              <w:jc w:val="left"/>
            </w:pPr>
            <w:r>
              <w:rPr>
                <w:rFonts w:cs="Calibri" w:hAnsi="Calibri" w:eastAsia="Calibri" w:ascii="Calibri"/>
                <w:sz w:val="18"/>
              </w:rPr>
              <w:t xml:space="preserve">PARTIES </w:t>
            </w:r>
          </w:p>
        </w:tc>
        <w:tc>
          <w:tcPr>
            <w:tcW w:w="1700" w:type="dxa"/>
            <w:gridSpan w:val="2"/>
            <w:tcBorders>
              <w:top w:val="single" w:sz="4" w:color="000000"/>
              <w:left w:val="single" w:sz="4" w:color="000000"/>
              <w:bottom w:val="single" w:sz="4" w:color="000000"/>
              <w:right w:val="single" w:sz="4" w:color="000000"/>
            </w:tcBorders>
            <w:shd w:val="clear" w:fill="ffff99"/>
            <w:vAlign w:val="top"/>
          </w:tcPr>
          <w:p>
            <w:pPr>
              <w:spacing w:before="0" w:after="0" w:line="259" w:lineRule="auto"/>
              <w:ind w:left="107" w:right="0" w:firstLine="0"/>
              <w:jc w:val="left"/>
            </w:pPr>
            <w:r>
              <w:rPr>
                <w:rFonts w:cs="Calibri" w:hAnsi="Calibri" w:eastAsia="Calibri" w:ascii="Calibri"/>
                <w:sz w:val="18"/>
              </w:rPr>
              <w:t xml:space="preserve">INPUTS </w:t>
            </w:r>
          </w:p>
        </w:tc>
        <w:tc>
          <w:tcPr>
            <w:tcW w:w="1282" w:type="dxa"/>
            <w:tcBorders>
              <w:top w:val="single" w:sz="4" w:color="000000"/>
              <w:left w:val="single" w:sz="4" w:color="000000"/>
              <w:bottom w:val="single" w:sz="4" w:color="000000"/>
              <w:right w:val="single" w:sz="4" w:color="000000"/>
            </w:tcBorders>
            <w:shd w:val="clear" w:fill="ffff99"/>
            <w:vAlign w:val="top"/>
          </w:tcPr>
          <w:p>
            <w:pPr>
              <w:spacing w:before="0" w:after="0" w:line="259" w:lineRule="auto"/>
              <w:ind w:left="108" w:right="0" w:firstLine="0"/>
              <w:jc w:val="left"/>
            </w:pPr>
            <w:r>
              <w:rPr>
                <w:rFonts w:cs="Calibri" w:hAnsi="Calibri" w:eastAsia="Calibri" w:ascii="Calibri"/>
                <w:sz w:val="18"/>
              </w:rPr>
              <w:t xml:space="preserve">FUNDING </w:t>
            </w:r>
          </w:p>
        </w:tc>
        <w:tc>
          <w:tcPr>
            <w:vMerge w:val="continue"/>
            <w:tcBorders>
              <w:top w:val="nil"/>
              <w:left w:val="single" w:sz="4" w:color="000000"/>
              <w:bottom w:val="nil"/>
              <w:right w:val="nil"/>
            </w:tcBorders>
            <w:vAlign w:val="bottom"/>
          </w:tcPr>
          <w:p>
            <w:pPr>
              <w:bidi w:val="0"/>
              <w:spacing w:before="0" w:after="160" w:line="259" w:lineRule="auto"/>
              <w:ind w:left="0" w:right="0" w:firstLine="0"/>
              <w:jc w:val="left"/>
            </w:pPr>
          </w:p>
        </w:tc>
      </w:tr>
      <w:tr>
        <w:trPr>
          <w:trHeight w:val="3880" w:hRule="atLeast"/>
        </w:trPr>
        <w:tc>
          <w:tcPr>
            <w:tcW w:w="2879" w:type="dxa"/>
            <w:vMerge w:val="restart"/>
            <w:tcBorders>
              <w:top w:val="single" w:sz="4" w:color="000000"/>
              <w:left w:val="single" w:sz="4" w:color="000000"/>
              <w:bottom w:val="single" w:sz="4" w:color="000000"/>
              <w:right w:val="single" w:sz="4" w:color="000000"/>
            </w:tcBorders>
            <w:vAlign w:val="top"/>
          </w:tcPr>
          <w:p>
            <w:pPr>
              <w:spacing w:before="0" w:after="0" w:line="259" w:lineRule="auto"/>
              <w:ind w:left="106" w:right="0" w:firstLine="0"/>
              <w:jc w:val="left"/>
            </w:pPr>
            <w:r>
              <w:rPr>
                <w:rFonts w:cs="Calibri" w:hAnsi="Calibri" w:eastAsia="Calibri" w:ascii="Calibri"/>
                <w:sz w:val="18"/>
              </w:rPr>
              <w:t xml:space="preserve">Output 1 </w:t>
            </w:r>
          </w:p>
          <w:p>
            <w:pPr>
              <w:spacing w:before="0" w:after="0" w:line="259" w:lineRule="auto"/>
              <w:ind w:left="106" w:right="0" w:firstLine="0"/>
              <w:jc w:val="left"/>
            </w:pPr>
            <w:r>
              <w:rPr>
                <w:sz w:val="18"/>
              </w:rPr>
              <w:t xml:space="preserve"> </w:t>
            </w:r>
          </w:p>
          <w:p>
            <w:pPr>
              <w:spacing w:before="0" w:after="0" w:line="240" w:lineRule="auto"/>
              <w:ind w:left="106" w:right="108" w:firstLine="0"/>
            </w:pPr>
            <w:r>
              <w:rPr>
                <w:sz w:val="18"/>
              </w:rPr>
              <w:t xml:space="preserve">Gender sensitive programming and strategic planning in the democratic governance sector working group enhanced  </w:t>
            </w:r>
          </w:p>
          <w:p>
            <w:pPr>
              <w:spacing w:before="0" w:after="0" w:line="259" w:lineRule="auto"/>
              <w:ind w:left="106" w:right="0" w:firstLine="0"/>
              <w:jc w:val="left"/>
            </w:pPr>
            <w:r>
              <w:rPr>
                <w:sz w:val="18"/>
              </w:rPr>
              <w:t xml:space="preserve"> </w:t>
            </w:r>
          </w:p>
          <w:p>
            <w:pPr>
              <w:spacing w:before="0" w:after="33" w:line="259" w:lineRule="auto"/>
              <w:ind w:left="106" w:right="0" w:firstLine="0"/>
              <w:jc w:val="left"/>
            </w:pPr>
            <w:r>
              <w:rPr>
                <w:rFonts w:cs="Calibri" w:hAnsi="Calibri" w:eastAsia="Calibri" w:ascii="Calibri"/>
                <w:sz w:val="18"/>
              </w:rPr>
              <w:t xml:space="preserve">Indicators</w:t>
            </w:r>
            <w:r>
              <w:rPr>
                <w:sz w:val="18"/>
              </w:rPr>
              <w:t xml:space="preserve">: </w:t>
            </w:r>
          </w:p>
          <w:p>
            <w:pPr>
              <w:numPr>
                <w:ilvl w:val="0"/>
                <w:numId w:val="7"/>
              </w:numPr>
              <w:spacing w:before="0" w:after="2" w:line="239" w:lineRule="auto"/>
              <w:ind w:left="466" w:right="29" w:hanging="360"/>
              <w:jc w:val="left"/>
            </w:pPr>
            <w:r>
              <w:rPr>
                <w:sz w:val="18"/>
              </w:rPr>
              <w:t xml:space="preserve">Capacity diagnostic on gender mainstreaming in the </w:t>
            </w:r>
          </w:p>
          <w:p>
            <w:pPr>
              <w:spacing w:before="0" w:after="2" w:line="239" w:lineRule="auto"/>
              <w:ind w:left="466" w:right="0" w:firstLine="0"/>
              <w:jc w:val="left"/>
            </w:pPr>
            <w:r>
              <w:rPr>
                <w:sz w:val="18"/>
              </w:rPr>
              <w:t xml:space="preserve">Democratic Governance Sector improved </w:t>
            </w:r>
          </w:p>
          <w:p>
            <w:pPr>
              <w:spacing w:before="0" w:after="31" w:line="259" w:lineRule="auto"/>
              <w:ind w:left="106" w:right="0" w:firstLine="0"/>
              <w:jc w:val="left"/>
            </w:pPr>
            <w:r>
              <w:rPr>
                <w:sz w:val="18"/>
              </w:rPr>
              <w:t xml:space="preserve"> </w:t>
            </w:r>
          </w:p>
          <w:p>
            <w:pPr>
              <w:numPr>
                <w:ilvl w:val="0"/>
                <w:numId w:val="7"/>
              </w:numPr>
              <w:spacing w:before="0" w:after="0" w:line="255" w:lineRule="auto"/>
              <w:ind w:left="466" w:right="29" w:hanging="360"/>
              <w:jc w:val="left"/>
            </w:pPr>
            <w:r>
              <w:rPr>
                <w:sz w:val="18"/>
              </w:rPr>
              <w:t xml:space="preserve">Both Sub Sector strategic plans responding to gender needs </w:t>
            </w:r>
          </w:p>
          <w:p>
            <w:pPr>
              <w:spacing w:before="0" w:after="33" w:line="259" w:lineRule="auto"/>
              <w:ind w:left="106" w:right="0" w:firstLine="0"/>
              <w:jc w:val="left"/>
            </w:pPr>
            <w:r>
              <w:rPr>
                <w:sz w:val="18"/>
              </w:rPr>
              <w:t xml:space="preserve"> </w:t>
            </w:r>
          </w:p>
          <w:p>
            <w:pPr>
              <w:numPr>
                <w:ilvl w:val="0"/>
                <w:numId w:val="7"/>
              </w:numPr>
              <w:spacing w:before="0" w:after="0" w:line="245" w:lineRule="auto"/>
              <w:ind w:left="466" w:right="29" w:hanging="360"/>
              <w:jc w:val="left"/>
            </w:pPr>
            <w:r>
              <w:rPr>
                <w:sz w:val="18"/>
              </w:rPr>
              <w:t xml:space="preserve">Two gender based indicators are included in the Democratic Governance Sector M&amp;E framework </w:t>
            </w:r>
          </w:p>
          <w:p>
            <w:pPr>
              <w:spacing w:before="0" w:after="33" w:line="259" w:lineRule="auto"/>
              <w:ind w:left="466" w:right="0" w:firstLine="0"/>
              <w:jc w:val="left"/>
            </w:pPr>
            <w:r>
              <w:rPr>
                <w:sz w:val="18"/>
              </w:rPr>
              <w:t xml:space="preserve"> </w:t>
            </w:r>
          </w:p>
          <w:p>
            <w:pPr>
              <w:numPr>
                <w:ilvl w:val="0"/>
                <w:numId w:val="7"/>
              </w:numPr>
              <w:spacing w:before="0" w:after="0" w:line="244" w:lineRule="auto"/>
              <w:ind w:left="466" w:right="29" w:hanging="360"/>
              <w:jc w:val="left"/>
            </w:pPr>
            <w:r>
              <w:rPr>
                <w:sz w:val="18"/>
              </w:rPr>
              <w:t xml:space="preserve">One sector wide gender reference group established and effectively supporting all sector activities. </w:t>
            </w:r>
          </w:p>
          <w:p>
            <w:pPr>
              <w:spacing w:before="0" w:after="0" w:line="259" w:lineRule="auto"/>
              <w:ind w:left="106" w:right="0" w:firstLine="0"/>
              <w:jc w:val="left"/>
            </w:pPr>
            <w:r>
              <w:rPr>
                <w:sz w:val="18"/>
              </w:rPr>
              <w:t xml:space="preserve"> </w:t>
            </w:r>
          </w:p>
          <w:p>
            <w:pPr>
              <w:spacing w:before="0" w:after="0" w:line="259" w:lineRule="auto"/>
              <w:ind w:left="106" w:right="0" w:firstLine="0"/>
              <w:jc w:val="left"/>
            </w:pPr>
            <w:r>
              <w:rPr>
                <w:sz w:val="18"/>
              </w:rPr>
              <w:t xml:space="preserve"> </w:t>
            </w:r>
          </w:p>
        </w:tc>
        <w:tc>
          <w:tcPr>
            <w:tcW w:w="2700" w:type="dxa"/>
            <w:tcBorders>
              <w:top w:val="single" w:sz="4" w:color="000000"/>
              <w:left w:val="single" w:sz="4" w:color="000000"/>
              <w:bottom w:val="single" w:sz="4" w:color="000000"/>
              <w:right w:val="single" w:sz="4" w:color="000000"/>
            </w:tcBorders>
            <w:vAlign w:val="top"/>
          </w:tcPr>
          <w:p>
            <w:pPr>
              <w:spacing w:before="0" w:after="0" w:line="259" w:lineRule="auto"/>
              <w:ind w:left="107" w:right="0" w:firstLine="0"/>
              <w:jc w:val="left"/>
            </w:pPr>
            <w:r>
              <w:rPr>
                <w:rFonts w:cs="Calibri" w:hAnsi="Calibri" w:eastAsia="Calibri" w:ascii="Calibri"/>
                <w:sz w:val="18"/>
                <w:u w:val="single" w:color="000000"/>
              </w:rPr>
              <w:t xml:space="preserve">Target for 2011</w:t>
            </w:r>
            <w:r>
              <w:rPr>
                <w:rFonts w:cs="Calibri" w:hAnsi="Calibri" w:eastAsia="Calibri" w:ascii="Calibri"/>
                <w:sz w:val="18"/>
              </w:rPr>
              <w:t xml:space="preserve"> </w:t>
            </w:r>
          </w:p>
          <w:p>
            <w:pPr>
              <w:spacing w:before="0" w:after="0" w:line="259" w:lineRule="auto"/>
              <w:ind w:left="107" w:right="0" w:firstLine="0"/>
              <w:jc w:val="left"/>
            </w:pPr>
            <w:r>
              <w:rPr>
                <w:sz w:val="18"/>
              </w:rPr>
              <w:t xml:space="preserve"> </w:t>
            </w:r>
          </w:p>
          <w:p>
            <w:pPr>
              <w:spacing w:before="0" w:after="0" w:line="241" w:lineRule="auto"/>
              <w:ind w:left="107" w:right="0" w:firstLine="0"/>
              <w:jc w:val="left"/>
            </w:pPr>
            <w:r>
              <w:rPr>
                <w:sz w:val="18"/>
              </w:rPr>
              <w:t xml:space="preserve">Gender Gaps in the Sector identified </w:t>
            </w:r>
          </w:p>
          <w:p>
            <w:pPr>
              <w:spacing w:before="0" w:after="0" w:line="259" w:lineRule="auto"/>
              <w:ind w:left="107" w:right="0" w:firstLine="0"/>
              <w:jc w:val="left"/>
            </w:pPr>
            <w:r>
              <w:rPr>
                <w:sz w:val="18"/>
              </w:rPr>
              <w:t xml:space="preserve"> </w:t>
            </w:r>
          </w:p>
          <w:p>
            <w:pPr>
              <w:spacing w:before="0" w:after="2" w:line="239" w:lineRule="auto"/>
              <w:ind w:left="107" w:right="0" w:firstLine="0"/>
            </w:pPr>
            <w:r>
              <w:rPr>
                <w:sz w:val="18"/>
              </w:rPr>
              <w:t xml:space="preserve">Draft gender sensitive sub sector strategic plans developed </w:t>
            </w:r>
          </w:p>
          <w:p>
            <w:pPr>
              <w:spacing w:before="0" w:after="1" w:line="259" w:lineRule="auto"/>
              <w:ind w:left="107" w:right="0" w:firstLine="0"/>
              <w:jc w:val="left"/>
            </w:pPr>
            <w:r>
              <w:rPr>
                <w:sz w:val="18"/>
              </w:rPr>
              <w:t xml:space="preserve"> </w:t>
            </w:r>
          </w:p>
          <w:p>
            <w:pPr>
              <w:tabs>
                <w:tab w:val="center" w:pos="378"/>
                <w:tab w:val="center" w:pos="1178"/>
                <w:tab w:val="center" w:pos="2149"/>
              </w:tabs>
              <w:spacing w:before="0" w:after="0" w:line="259" w:lineRule="auto"/>
              <w:ind w:left="0" w:right="0" w:firstLine="0"/>
              <w:jc w:val="left"/>
            </w:pPr>
            <w:r>
              <w:rPr>
                <w:rFonts w:cs="Calibri" w:hAnsi="Calibri" w:eastAsia="Calibri" w:ascii="Calibri"/>
                <w:sz w:val="22"/>
              </w:rPr>
              <w:t xml:space="preserve">	</w:t>
            </w:r>
            <w:r>
              <w:rPr>
                <w:sz w:val="18"/>
              </w:rPr>
              <w:t xml:space="preserve">Gender 	sensitive 	Governance </w:t>
            </w:r>
          </w:p>
          <w:p>
            <w:pPr>
              <w:spacing w:before="0" w:after="0" w:line="259" w:lineRule="auto"/>
              <w:ind w:left="107" w:right="0" w:firstLine="0"/>
              <w:jc w:val="left"/>
            </w:pPr>
            <w:r>
              <w:rPr>
                <w:sz w:val="18"/>
              </w:rPr>
              <w:t xml:space="preserve">Indicators agreed </w:t>
            </w:r>
          </w:p>
        </w:tc>
        <w:tc>
          <w:tcPr>
            <w:tcW w:w="4782" w:type="dxa"/>
            <w:tcBorders>
              <w:top w:val="single" w:sz="4" w:color="000000"/>
              <w:left w:val="single" w:sz="4" w:color="000000"/>
              <w:bottom w:val="single" w:sz="4" w:color="000000"/>
              <w:right w:val="single" w:sz="4" w:color="000000"/>
            </w:tcBorders>
            <w:vAlign w:val="top"/>
          </w:tcPr>
          <w:p>
            <w:pPr>
              <w:spacing w:before="0" w:after="3" w:line="259" w:lineRule="auto"/>
              <w:ind w:left="107" w:right="0" w:firstLine="0"/>
              <w:jc w:val="left"/>
            </w:pPr>
            <w:r>
              <w:rPr>
                <w:rFonts w:cs="Times New Roman" w:hAnsi="Times New Roman" w:eastAsia="Times New Roman" w:ascii="Times New Roman"/>
                <w:sz w:val="16"/>
              </w:rPr>
              <w:t xml:space="preserve"> </w:t>
            </w:r>
          </w:p>
          <w:p>
            <w:pPr>
              <w:spacing w:before="0" w:after="0" w:line="259" w:lineRule="auto"/>
              <w:ind w:left="107" w:right="0" w:firstLine="0"/>
              <w:jc w:val="left"/>
            </w:pPr>
            <w:r>
              <w:rPr>
                <w:rFonts w:cs="Times New Roman" w:hAnsi="Times New Roman" w:eastAsia="Times New Roman" w:ascii="Times New Roman"/>
                <w:sz w:val="18"/>
              </w:rPr>
              <w:t xml:space="preserve"> </w:t>
            </w:r>
          </w:p>
          <w:p>
            <w:pPr>
              <w:spacing w:before="0" w:after="0" w:line="240" w:lineRule="auto"/>
              <w:ind w:left="107" w:right="109" w:firstLine="0"/>
            </w:pPr>
            <w:r>
              <w:rPr>
                <w:sz w:val="18"/>
              </w:rPr>
              <w:t xml:space="preserve">Conduct studies to assess present gender gaps in the Democratic Governance Sector so as to develop a strategy on how best the gaps can be addressed  </w:t>
            </w:r>
          </w:p>
          <w:p>
            <w:pPr>
              <w:spacing w:before="0" w:after="0" w:line="259" w:lineRule="auto"/>
              <w:ind w:left="107" w:right="0" w:firstLine="0"/>
              <w:jc w:val="left"/>
            </w:pPr>
            <w:r>
              <w:rPr>
                <w:rFonts w:cs="Times New Roman" w:hAnsi="Times New Roman" w:eastAsia="Times New Roman" w:ascii="Times New Roman"/>
                <w:sz w:val="18"/>
              </w:rPr>
              <w:t xml:space="preserve"> </w:t>
            </w:r>
          </w:p>
          <w:p>
            <w:pPr>
              <w:spacing w:before="0" w:after="0" w:line="259" w:lineRule="auto"/>
              <w:ind w:left="107" w:right="0" w:firstLine="0"/>
              <w:jc w:val="left"/>
            </w:pPr>
            <w:r>
              <w:rPr>
                <w:rFonts w:cs="Times New Roman" w:hAnsi="Times New Roman" w:eastAsia="Times New Roman" w:ascii="Times New Roman"/>
                <w:sz w:val="18"/>
              </w:rPr>
              <w:t xml:space="preserve"> </w:t>
            </w:r>
          </w:p>
          <w:p>
            <w:pPr>
              <w:spacing w:before="0" w:after="0" w:line="259" w:lineRule="auto"/>
              <w:ind w:left="107" w:right="0" w:firstLine="0"/>
              <w:jc w:val="left"/>
            </w:pPr>
            <w:r>
              <w:rPr>
                <w:rFonts w:cs="Times New Roman" w:hAnsi="Times New Roman" w:eastAsia="Times New Roman" w:ascii="Times New Roman"/>
                <w:sz w:val="18"/>
              </w:rPr>
              <w:t xml:space="preserve"> </w:t>
            </w:r>
          </w:p>
          <w:p>
            <w:pPr>
              <w:spacing w:before="0" w:after="1" w:line="240" w:lineRule="auto"/>
              <w:ind w:left="107" w:right="109" w:firstLine="0"/>
            </w:pPr>
            <w:r>
              <w:rPr>
                <w:sz w:val="18"/>
              </w:rPr>
              <w:t xml:space="preserve">Conduct a stakeholder consultation process within the Democratic Governance Sector in order to develop a sub sector strategic plan aimed at addressing the identified gender gaps </w:t>
            </w:r>
          </w:p>
          <w:p>
            <w:pPr>
              <w:spacing w:before="0" w:after="0" w:line="259" w:lineRule="auto"/>
              <w:ind w:left="107" w:right="0" w:firstLine="0"/>
              <w:jc w:val="left"/>
            </w:pPr>
            <w:r>
              <w:rPr>
                <w:sz w:val="18"/>
              </w:rPr>
              <w:t xml:space="preserve"> </w:t>
            </w:r>
          </w:p>
          <w:p>
            <w:pPr>
              <w:spacing w:before="0" w:after="1" w:line="240" w:lineRule="auto"/>
              <w:ind w:left="107" w:right="111" w:firstLine="0"/>
            </w:pPr>
            <w:r>
              <w:rPr>
                <w:sz w:val="18"/>
              </w:rPr>
              <w:t xml:space="preserve">In the framework of the Governance Assessment Project two gender responsive Governance Indicators are developed, agreed and in effectively integrated in the M&amp;E framework  </w:t>
            </w:r>
          </w:p>
          <w:p>
            <w:pPr>
              <w:spacing w:before="0" w:after="0" w:line="259" w:lineRule="auto"/>
              <w:ind w:left="107" w:right="0" w:firstLine="0"/>
              <w:jc w:val="left"/>
            </w:pPr>
            <w:r>
              <w:rPr>
                <w:sz w:val="18"/>
              </w:rPr>
              <w:t xml:space="preserve"> </w:t>
            </w:r>
          </w:p>
          <w:p>
            <w:pPr>
              <w:spacing w:before="0" w:after="0" w:line="259" w:lineRule="auto"/>
              <w:ind w:left="107" w:right="0" w:firstLine="0"/>
              <w:jc w:val="left"/>
            </w:pPr>
            <w:r>
              <w:rPr>
                <w:sz w:val="18"/>
              </w:rPr>
              <w:t xml:space="preserve"> </w:t>
            </w:r>
          </w:p>
        </w:tc>
        <w:tc>
          <w:tcPr>
            <w:tcW w:w="1559" w:type="dxa"/>
            <w:tcBorders>
              <w:top w:val="single" w:sz="4" w:color="000000"/>
              <w:left w:val="single" w:sz="4" w:color="000000"/>
              <w:bottom w:val="single" w:sz="4" w:color="000000"/>
              <w:right w:val="single" w:sz="4" w:color="000000"/>
            </w:tcBorders>
            <w:vAlign w:val="top"/>
          </w:tcPr>
          <w:p>
            <w:pPr>
              <w:spacing w:before="0" w:after="0" w:line="259" w:lineRule="auto"/>
              <w:ind w:left="108" w:right="0" w:firstLine="0"/>
              <w:jc w:val="left"/>
            </w:pPr>
            <w:r>
              <w:rPr>
                <w:sz w:val="18"/>
              </w:rPr>
              <w:t xml:space="preserve">Ministry of Justice</w:t>
            </w:r>
            <w:r>
              <w:rPr>
                <w:rFonts w:cs="Calibri" w:hAnsi="Calibri" w:eastAsia="Calibri" w:ascii="Calibri"/>
                <w:sz w:val="18"/>
              </w:rPr>
              <w:t xml:space="preserve"> </w:t>
            </w:r>
          </w:p>
        </w:tc>
        <w:tc>
          <w:tcPr>
            <w:tcW w:w="1314" w:type="dxa"/>
            <w:vMerge w:val="restart"/>
            <w:tcBorders>
              <w:top w:val="single" w:sz="4" w:color="000000"/>
              <w:left w:val="single" w:sz="4" w:color="000000"/>
              <w:bottom w:val="single" w:sz="4" w:color="000000"/>
              <w:right w:val="nil"/>
            </w:tcBorders>
            <w:vAlign w:val="top"/>
          </w:tcPr>
          <w:p>
            <w:pPr>
              <w:spacing w:before="0" w:after="0" w:line="240" w:lineRule="auto"/>
              <w:ind w:left="107" w:right="0" w:firstLine="0"/>
              <w:jc w:val="left"/>
            </w:pPr>
            <w:r>
              <w:rPr>
                <w:sz w:val="18"/>
              </w:rPr>
              <w:t xml:space="preserve">International consultants  National professionals  </w:t>
            </w:r>
          </w:p>
          <w:p>
            <w:pPr>
              <w:spacing w:before="0" w:after="0" w:line="259" w:lineRule="auto"/>
              <w:ind w:left="107" w:right="0" w:firstLine="0"/>
              <w:jc w:val="left"/>
            </w:pPr>
            <w:r>
              <w:rPr>
                <w:sz w:val="18"/>
              </w:rPr>
              <w:t xml:space="preserve"> </w:t>
            </w:r>
          </w:p>
          <w:p>
            <w:pPr>
              <w:spacing w:before="0" w:after="2" w:line="239" w:lineRule="auto"/>
              <w:ind w:left="107" w:right="6" w:firstLine="0"/>
              <w:jc w:val="left"/>
            </w:pPr>
            <w:r>
              <w:rPr>
                <w:sz w:val="18"/>
              </w:rPr>
              <w:t xml:space="preserve">Studies research  </w:t>
            </w:r>
          </w:p>
          <w:p>
            <w:pPr>
              <w:spacing w:before="0" w:after="0" w:line="259" w:lineRule="auto"/>
              <w:ind w:left="107" w:right="-250" w:firstLine="0"/>
              <w:jc w:val="left"/>
            </w:pPr>
            <w:r>
              <w:rPr>
                <w:sz w:val="18"/>
              </w:rPr>
              <w:t xml:space="preserve">Workshops/training </w:t>
            </w:r>
          </w:p>
          <w:p>
            <w:pPr>
              <w:spacing w:before="0" w:after="0" w:line="259" w:lineRule="auto"/>
              <w:ind w:left="107" w:right="0" w:firstLine="0"/>
              <w:jc w:val="left"/>
            </w:pPr>
            <w:r>
              <w:rPr>
                <w:sz w:val="18"/>
              </w:rPr>
              <w:t xml:space="preserve">Travel    </w:t>
            </w:r>
          </w:p>
          <w:p>
            <w:pPr>
              <w:spacing w:before="0" w:after="0" w:line="241" w:lineRule="auto"/>
              <w:ind w:left="107" w:right="0" w:firstLine="0"/>
              <w:jc w:val="left"/>
            </w:pPr>
            <w:r>
              <w:rPr>
                <w:sz w:val="18"/>
              </w:rPr>
              <w:t xml:space="preserve">Procurement Project </w:t>
            </w:r>
          </w:p>
          <w:p>
            <w:pPr>
              <w:spacing w:before="0" w:after="0" w:line="259" w:lineRule="auto"/>
              <w:ind w:left="107" w:right="0" w:firstLine="0"/>
              <w:jc w:val="left"/>
            </w:pPr>
            <w:r>
              <w:rPr>
                <w:sz w:val="18"/>
              </w:rPr>
              <w:t xml:space="preserve">management </w:t>
            </w:r>
          </w:p>
          <w:p>
            <w:pPr>
              <w:spacing w:before="0" w:after="0" w:line="259" w:lineRule="auto"/>
              <w:ind w:left="107" w:right="0" w:firstLine="0"/>
              <w:jc w:val="left"/>
            </w:pPr>
            <w:r>
              <w:rPr>
                <w:sz w:val="18"/>
              </w:rPr>
              <w:t xml:space="preserve">Miscellaneous </w:t>
            </w:r>
          </w:p>
          <w:p>
            <w:pPr>
              <w:spacing w:before="0" w:after="0" w:line="259" w:lineRule="auto"/>
              <w:ind w:left="107" w:right="0" w:firstLine="0"/>
              <w:jc w:val="left"/>
            </w:pPr>
            <w:r>
              <w:rPr>
                <w:sz w:val="18"/>
              </w:rPr>
              <w:t xml:space="preserve"> </w:t>
            </w:r>
          </w:p>
          <w:p>
            <w:pPr>
              <w:spacing w:before="0" w:after="0" w:line="259" w:lineRule="auto"/>
              <w:ind w:left="107" w:right="0" w:firstLine="0"/>
              <w:jc w:val="left"/>
            </w:pPr>
            <w:r>
              <w:rPr>
                <w:rFonts w:cs="Calibri" w:hAnsi="Calibri" w:eastAsia="Calibri" w:ascii="Calibri"/>
                <w:sz w:val="18"/>
              </w:rPr>
              <w:t xml:space="preserve"> </w:t>
            </w:r>
          </w:p>
        </w:tc>
        <w:tc>
          <w:tcPr>
            <w:tcW w:w="387" w:type="dxa"/>
            <w:vMerge w:val="restart"/>
            <w:tcBorders>
              <w:top w:val="single" w:sz="4" w:color="000000"/>
              <w:left w:val="nil"/>
              <w:bottom w:val="single" w:sz="4" w:color="000000"/>
              <w:right w:val="single" w:sz="4" w:color="000000"/>
            </w:tcBorders>
            <w:vAlign w:val="top"/>
          </w:tcPr>
          <w:p>
            <w:pPr>
              <w:spacing w:before="0" w:after="202" w:line="259" w:lineRule="auto"/>
              <w:ind w:left="0" w:right="0" w:firstLine="0"/>
            </w:pPr>
            <w:r>
              <w:rPr>
                <w:sz w:val="18"/>
              </w:rPr>
              <w:t xml:space="preserve">and </w:t>
            </w:r>
          </w:p>
          <w:p>
            <w:pPr>
              <w:spacing w:before="0" w:after="0" w:line="259" w:lineRule="auto"/>
              <w:ind w:left="0" w:right="53" w:firstLine="0"/>
              <w:jc w:val="right"/>
            </w:pPr>
            <w:r>
              <w:rPr>
                <w:sz w:val="18"/>
              </w:rPr>
              <w:t xml:space="preserve"> </w:t>
            </w:r>
          </w:p>
        </w:tc>
        <w:tc>
          <w:tcPr>
            <w:tcW w:w="1282" w:type="dxa"/>
            <w:tcBorders>
              <w:top w:val="single" w:sz="4" w:color="000000"/>
              <w:left w:val="single" w:sz="4" w:color="000000"/>
              <w:bottom w:val="single" w:sz="4" w:color="000000"/>
              <w:right w:val="single" w:sz="4" w:color="000000"/>
            </w:tcBorders>
            <w:vAlign w:val="top"/>
          </w:tcPr>
          <w:p>
            <w:pPr>
              <w:spacing w:before="0" w:after="0" w:line="259" w:lineRule="auto"/>
              <w:ind w:left="108" w:right="0" w:firstLine="0"/>
              <w:jc w:val="left"/>
            </w:pPr>
            <w:r>
              <w:rPr>
                <w:sz w:val="18"/>
              </w:rPr>
              <w:t xml:space="preserve"> </w:t>
            </w:r>
          </w:p>
          <w:p>
            <w:pPr>
              <w:spacing w:before="0" w:after="0" w:line="259" w:lineRule="auto"/>
              <w:ind w:left="108" w:right="0" w:firstLine="0"/>
              <w:jc w:val="left"/>
            </w:pPr>
            <w:r>
              <w:rPr>
                <w:sz w:val="18"/>
              </w:rPr>
              <w:t xml:space="preserve"> </w:t>
            </w:r>
          </w:p>
          <w:p>
            <w:pPr>
              <w:spacing w:before="0" w:after="0" w:line="259" w:lineRule="auto"/>
              <w:ind w:left="108" w:right="0" w:firstLine="0"/>
              <w:jc w:val="left"/>
            </w:pPr>
            <w:r>
              <w:rPr>
                <w:sz w:val="18"/>
              </w:rPr>
              <w:t xml:space="preserve"> </w:t>
            </w:r>
          </w:p>
          <w:p>
            <w:pPr>
              <w:spacing w:before="0" w:after="0" w:line="259" w:lineRule="auto"/>
              <w:ind w:left="108" w:right="0" w:firstLine="0"/>
              <w:jc w:val="left"/>
            </w:pPr>
            <w:r>
              <w:rPr>
                <w:sz w:val="18"/>
              </w:rPr>
              <w:t xml:space="preserve"> </w:t>
            </w:r>
          </w:p>
          <w:p>
            <w:pPr>
              <w:spacing w:before="0" w:after="0" w:line="259" w:lineRule="auto"/>
              <w:ind w:left="108" w:right="0" w:firstLine="0"/>
              <w:jc w:val="left"/>
            </w:pPr>
            <w:r>
              <w:rPr>
                <w:sz w:val="18"/>
              </w:rPr>
              <w:t xml:space="preserve">USD 100,000 </w:t>
            </w:r>
          </w:p>
          <w:p>
            <w:pPr>
              <w:spacing w:before="0" w:after="0" w:line="259" w:lineRule="auto"/>
              <w:ind w:left="108" w:right="0" w:firstLine="0"/>
              <w:jc w:val="left"/>
            </w:pPr>
            <w:r>
              <w:rPr>
                <w:sz w:val="18"/>
              </w:rPr>
              <w:t xml:space="preserve"> </w:t>
            </w:r>
          </w:p>
          <w:p>
            <w:pPr>
              <w:spacing w:before="0" w:after="0" w:line="259" w:lineRule="auto"/>
              <w:ind w:left="108" w:right="0" w:firstLine="0"/>
              <w:jc w:val="left"/>
            </w:pPr>
            <w:r>
              <w:rPr>
                <w:sz w:val="18"/>
              </w:rPr>
              <w:t xml:space="preserve"> </w:t>
            </w:r>
          </w:p>
        </w:tc>
        <w:tc>
          <w:tcPr>
            <w:vMerge w:val="continue"/>
            <w:tcBorders>
              <w:top w:val="nil"/>
              <w:left w:val="single" w:sz="4" w:color="000000"/>
              <w:bottom w:val="nil"/>
              <w:right w:val="nil"/>
            </w:tcBorders>
            <w:vAlign w:val="bottom"/>
          </w:tcPr>
          <w:p>
            <w:pPr>
              <w:bidi w:val="0"/>
              <w:spacing w:before="0" w:after="160" w:line="259" w:lineRule="auto"/>
              <w:ind w:left="0" w:right="0" w:firstLine="0"/>
              <w:jc w:val="left"/>
            </w:pPr>
          </w:p>
        </w:tc>
      </w:tr>
      <w:tr>
        <w:trPr>
          <w:trHeight w:val="2426" w:hRule="atLeast"/>
        </w:trPr>
        <w:tc>
          <w:tcPr>
            <w:vMerge w:val="continue"/>
            <w:tcBorders>
              <w:top w:val="nil"/>
              <w:left w:val="single" w:sz="4" w:color="000000"/>
              <w:bottom w:val="single" w:sz="4" w:color="000000"/>
              <w:right w:val="single" w:sz="4" w:color="000000"/>
            </w:tcBorders>
            <w:vAlign w:val="center"/>
          </w:tcPr>
          <w:p>
            <w:pPr>
              <w:bidi w:val="0"/>
              <w:spacing w:before="0" w:after="160" w:line="259" w:lineRule="auto"/>
              <w:ind w:left="0" w:right="0" w:firstLine="0"/>
              <w:jc w:val="left"/>
            </w:pPr>
          </w:p>
        </w:tc>
        <w:tc>
          <w:tcPr>
            <w:tcW w:w="2700" w:type="dxa"/>
            <w:tcBorders>
              <w:top w:val="single" w:sz="4" w:color="000000"/>
              <w:left w:val="single" w:sz="4" w:color="000000"/>
              <w:bottom w:val="single" w:sz="4" w:color="000000"/>
              <w:right w:val="single" w:sz="4" w:color="000000"/>
            </w:tcBorders>
            <w:vAlign w:val="top"/>
          </w:tcPr>
          <w:p>
            <w:pPr>
              <w:spacing w:before="0" w:after="0" w:line="259" w:lineRule="auto"/>
              <w:ind w:left="107" w:right="0" w:firstLine="0"/>
              <w:jc w:val="left"/>
            </w:pPr>
            <w:r>
              <w:rPr>
                <w:rFonts w:cs="Calibri" w:hAnsi="Calibri" w:eastAsia="Calibri" w:ascii="Calibri"/>
                <w:sz w:val="18"/>
                <w:u w:val="single" w:color="000000"/>
              </w:rPr>
              <w:t xml:space="preserve">Targets 2012</w:t>
            </w:r>
            <w:r>
              <w:rPr>
                <w:rFonts w:cs="Calibri" w:hAnsi="Calibri" w:eastAsia="Calibri" w:ascii="Calibri"/>
                <w:sz w:val="18"/>
              </w:rPr>
              <w:t xml:space="preserve"> </w:t>
            </w:r>
          </w:p>
          <w:p>
            <w:pPr>
              <w:spacing w:before="0" w:after="0" w:line="259" w:lineRule="auto"/>
              <w:ind w:left="107" w:right="0" w:firstLine="0"/>
              <w:jc w:val="left"/>
            </w:pPr>
            <w:r>
              <w:rPr>
                <w:sz w:val="18"/>
              </w:rPr>
              <w:t xml:space="preserve"> </w:t>
            </w:r>
          </w:p>
          <w:p>
            <w:pPr>
              <w:spacing w:before="0" w:after="1" w:line="240" w:lineRule="auto"/>
              <w:ind w:left="107" w:right="108" w:firstLine="0"/>
            </w:pPr>
            <w:r>
              <w:rPr>
                <w:sz w:val="18"/>
              </w:rPr>
              <w:t xml:space="preserve">Sector wide gender reference group established and its active participation in all sector </w:t>
            </w:r>
          </w:p>
          <w:p>
            <w:pPr>
              <w:spacing w:before="0" w:after="0" w:line="259" w:lineRule="auto"/>
              <w:ind w:left="107" w:right="0" w:firstLine="0"/>
              <w:jc w:val="left"/>
            </w:pPr>
            <w:r>
              <w:rPr>
                <w:sz w:val="18"/>
              </w:rPr>
              <w:t xml:space="preserve">activities fulfilled </w:t>
            </w:r>
          </w:p>
          <w:p>
            <w:pPr>
              <w:spacing w:before="0" w:after="0" w:line="259" w:lineRule="auto"/>
              <w:ind w:left="107" w:right="0" w:firstLine="0"/>
              <w:jc w:val="left"/>
            </w:pPr>
            <w:r>
              <w:rPr>
                <w:sz w:val="18"/>
              </w:rPr>
              <w:t xml:space="preserve"> </w:t>
            </w:r>
          </w:p>
          <w:p>
            <w:pPr>
              <w:spacing w:before="0" w:after="0" w:line="259" w:lineRule="auto"/>
              <w:ind w:left="107" w:right="108" w:firstLine="0"/>
            </w:pPr>
            <w:r>
              <w:rPr>
                <w:sz w:val="18"/>
              </w:rPr>
              <w:t xml:space="preserve">Gender sensitive Sector Budget 2012/2013 established and stakeholders enabled to exercise gender sensitive budgeting. </w:t>
            </w:r>
          </w:p>
        </w:tc>
        <w:tc>
          <w:tcPr>
            <w:tcW w:w="4782" w:type="dxa"/>
            <w:tcBorders>
              <w:top w:val="single" w:sz="4" w:color="000000"/>
              <w:left w:val="single" w:sz="4" w:color="000000"/>
              <w:bottom w:val="single" w:sz="4" w:color="000000"/>
              <w:right w:val="single" w:sz="4" w:color="000000"/>
            </w:tcBorders>
            <w:vAlign w:val="top"/>
          </w:tcPr>
          <w:p>
            <w:pPr>
              <w:spacing w:before="0" w:after="0" w:line="259" w:lineRule="auto"/>
              <w:ind w:left="107" w:right="0" w:firstLine="0"/>
              <w:jc w:val="left"/>
            </w:pPr>
            <w:r>
              <w:rPr>
                <w:rFonts w:cs="Times New Roman" w:hAnsi="Times New Roman" w:eastAsia="Times New Roman" w:ascii="Times New Roman"/>
                <w:sz w:val="18"/>
              </w:rPr>
              <w:t xml:space="preserve"> </w:t>
            </w:r>
          </w:p>
          <w:p>
            <w:pPr>
              <w:spacing w:before="0" w:after="0" w:line="259" w:lineRule="auto"/>
              <w:ind w:left="107" w:right="0" w:firstLine="0"/>
              <w:jc w:val="left"/>
            </w:pPr>
            <w:r>
              <w:rPr>
                <w:sz w:val="18"/>
              </w:rPr>
              <w:t xml:space="preserve"> </w:t>
            </w:r>
          </w:p>
          <w:p>
            <w:pPr>
              <w:spacing w:before="0" w:after="0" w:line="259" w:lineRule="auto"/>
              <w:ind w:left="107" w:right="0" w:firstLine="0"/>
              <w:jc w:val="left"/>
            </w:pPr>
            <w:r>
              <w:rPr>
                <w:sz w:val="18"/>
              </w:rPr>
              <w:t xml:space="preserve">Identify a sector wide gender reference group  </w:t>
            </w:r>
          </w:p>
          <w:p>
            <w:pPr>
              <w:spacing w:before="0" w:after="0" w:line="259" w:lineRule="auto"/>
              <w:ind w:left="107" w:right="0" w:firstLine="0"/>
              <w:jc w:val="left"/>
            </w:pPr>
            <w:r>
              <w:rPr>
                <w:sz w:val="18"/>
              </w:rPr>
              <w:t xml:space="preserve"> </w:t>
            </w:r>
          </w:p>
          <w:p>
            <w:pPr>
              <w:spacing w:before="0" w:after="0" w:line="259" w:lineRule="auto"/>
              <w:ind w:left="107" w:right="0" w:firstLine="0"/>
              <w:jc w:val="left"/>
            </w:pPr>
            <w:r>
              <w:rPr>
                <w:sz w:val="18"/>
              </w:rPr>
              <w:t xml:space="preserve">Develop and approve TOR’s for the gender reference group </w:t>
            </w:r>
          </w:p>
          <w:p>
            <w:pPr>
              <w:spacing w:before="0" w:after="0" w:line="259" w:lineRule="auto"/>
              <w:ind w:left="107" w:right="0" w:firstLine="0"/>
              <w:jc w:val="left"/>
            </w:pPr>
            <w:r>
              <w:rPr>
                <w:sz w:val="18"/>
              </w:rPr>
              <w:t xml:space="preserve"> </w:t>
            </w:r>
          </w:p>
          <w:p>
            <w:pPr>
              <w:spacing w:before="0" w:after="0" w:line="241" w:lineRule="auto"/>
              <w:ind w:left="107" w:right="0" w:firstLine="0"/>
            </w:pPr>
            <w:r>
              <w:rPr>
                <w:sz w:val="18"/>
              </w:rPr>
              <w:t xml:space="preserve">Ensure the effective operation of the reference group by providing necessary support to sector activities </w:t>
            </w:r>
          </w:p>
          <w:p>
            <w:pPr>
              <w:spacing w:before="0" w:after="0" w:line="259" w:lineRule="auto"/>
              <w:ind w:left="107" w:right="0" w:firstLine="0"/>
              <w:jc w:val="left"/>
            </w:pPr>
            <w:r>
              <w:rPr>
                <w:sz w:val="18"/>
              </w:rPr>
              <w:t xml:space="preserve"> </w:t>
            </w:r>
          </w:p>
          <w:p>
            <w:pPr>
              <w:spacing w:before="0" w:after="0" w:line="259" w:lineRule="auto"/>
              <w:ind w:left="107" w:right="0" w:firstLine="0"/>
              <w:jc w:val="left"/>
            </w:pPr>
            <w:r>
              <w:rPr>
                <w:sz w:val="18"/>
              </w:rPr>
              <w:t xml:space="preserve">Training and facilitating gender sensitive budgeting process </w:t>
            </w:r>
            <w:r>
              <w:rPr>
                <w:sz w:val="18"/>
              </w:rPr>
              <w:t xml:space="preserve">2012/2013 </w:t>
            </w:r>
          </w:p>
        </w:tc>
        <w:tc>
          <w:tcPr>
            <w:tcW w:w="1559" w:type="dxa"/>
            <w:tcBorders>
              <w:top w:val="single" w:sz="4" w:color="000000"/>
              <w:left w:val="single" w:sz="4" w:color="000000"/>
              <w:bottom w:val="single" w:sz="4" w:color="000000"/>
              <w:right w:val="single" w:sz="4" w:color="000000"/>
            </w:tcBorders>
            <w:vAlign w:val="top"/>
          </w:tcPr>
          <w:p>
            <w:pPr>
              <w:spacing w:before="0" w:after="0" w:line="259" w:lineRule="auto"/>
              <w:ind w:left="108" w:right="0" w:firstLine="0"/>
              <w:jc w:val="left"/>
            </w:pPr>
            <w:r>
              <w:rPr>
                <w:sz w:val="18"/>
              </w:rPr>
              <w:t xml:space="preserve"> </w:t>
            </w:r>
          </w:p>
          <w:p>
            <w:pPr>
              <w:spacing w:before="0" w:after="0" w:line="259" w:lineRule="auto"/>
              <w:ind w:left="108" w:right="0" w:firstLine="0"/>
              <w:jc w:val="left"/>
            </w:pPr>
            <w:r>
              <w:rPr>
                <w:sz w:val="18"/>
              </w:rPr>
              <w:t xml:space="preserve">Ministry of Justice</w:t>
            </w:r>
            <w:r>
              <w:rPr>
                <w:rFonts w:cs="Calibri" w:hAnsi="Calibri" w:eastAsia="Calibri" w:ascii="Calibri"/>
                <w:sz w:val="18"/>
              </w:rPr>
              <w:t xml:space="preserve"> </w:t>
            </w:r>
          </w:p>
        </w:tc>
        <w:tc>
          <w:tcPr>
            <w:vMerge w:val="continue"/>
            <w:tcBorders>
              <w:top w:val="nil"/>
              <w:left w:val="single" w:sz="4" w:color="000000"/>
              <w:bottom w:val="single" w:sz="4" w:color="000000"/>
              <w:right w:val="nil"/>
            </w:tcBorders>
            <w:vAlign w:val="center"/>
          </w:tcPr>
          <w:p>
            <w:pPr>
              <w:bidi w:val="0"/>
              <w:spacing w:before="0" w:after="160" w:line="259" w:lineRule="auto"/>
              <w:ind w:left="0" w:right="0" w:firstLine="0"/>
              <w:jc w:val="left"/>
            </w:pPr>
          </w:p>
        </w:tc>
        <w:tc>
          <w:tcPr>
            <w:vMerge w:val="continue"/>
            <w:tcBorders>
              <w:top w:val="nil"/>
              <w:left w:val="nil"/>
              <w:bottom w:val="single" w:sz="4" w:color="000000"/>
              <w:right w:val="single" w:sz="4" w:color="000000"/>
            </w:tcBorders>
            <w:vAlign w:val="bottom"/>
          </w:tcPr>
          <w:p>
            <w:pPr>
              <w:bidi w:val="0"/>
              <w:spacing w:before="0" w:after="160" w:line="259" w:lineRule="auto"/>
              <w:ind w:left="0" w:right="0" w:firstLine="0"/>
              <w:jc w:val="left"/>
            </w:pPr>
          </w:p>
        </w:tc>
        <w:tc>
          <w:tcPr>
            <w:tcW w:w="1282" w:type="dxa"/>
            <w:tcBorders>
              <w:top w:val="single" w:sz="4" w:color="000000"/>
              <w:left w:val="single" w:sz="4" w:color="000000"/>
              <w:bottom w:val="single" w:sz="4" w:color="000000"/>
              <w:right w:val="single" w:sz="4" w:color="000000"/>
            </w:tcBorders>
            <w:vAlign w:val="top"/>
          </w:tcPr>
          <w:p>
            <w:pPr>
              <w:spacing w:before="0" w:after="0" w:line="259" w:lineRule="auto"/>
              <w:ind w:left="108" w:right="0" w:firstLine="0"/>
              <w:jc w:val="left"/>
            </w:pPr>
            <w:r>
              <w:rPr>
                <w:rFonts w:cs="Calibri" w:hAnsi="Calibri" w:eastAsia="Calibri" w:ascii="Calibri"/>
                <w:sz w:val="18"/>
              </w:rPr>
              <w:t xml:space="preserve"> </w:t>
            </w:r>
          </w:p>
          <w:p>
            <w:pPr>
              <w:spacing w:before="0" w:after="0" w:line="259" w:lineRule="auto"/>
              <w:ind w:left="108" w:right="0" w:firstLine="0"/>
              <w:jc w:val="left"/>
            </w:pPr>
            <w:r>
              <w:rPr>
                <w:sz w:val="18"/>
              </w:rPr>
              <w:t xml:space="preserve"> </w:t>
            </w:r>
          </w:p>
          <w:p>
            <w:pPr>
              <w:spacing w:before="0" w:after="0" w:line="259" w:lineRule="auto"/>
              <w:ind w:left="108" w:right="0" w:firstLine="0"/>
              <w:jc w:val="left"/>
            </w:pPr>
            <w:r>
              <w:rPr>
                <w:sz w:val="18"/>
              </w:rPr>
              <w:t xml:space="preserve"> </w:t>
            </w:r>
          </w:p>
          <w:p>
            <w:pPr>
              <w:spacing w:before="0" w:after="0" w:line="259" w:lineRule="auto"/>
              <w:ind w:left="108" w:right="0" w:firstLine="0"/>
              <w:jc w:val="left"/>
            </w:pPr>
            <w:r>
              <w:rPr>
                <w:sz w:val="18"/>
              </w:rPr>
              <w:t xml:space="preserve">USD 20,000 </w:t>
            </w:r>
          </w:p>
          <w:p>
            <w:pPr>
              <w:spacing w:before="0" w:after="0" w:line="259" w:lineRule="auto"/>
              <w:ind w:left="108" w:right="0" w:firstLine="0"/>
              <w:jc w:val="left"/>
            </w:pPr>
            <w:r>
              <w:rPr>
                <w:sz w:val="18"/>
              </w:rPr>
              <w:t xml:space="preserve"> </w:t>
            </w:r>
          </w:p>
          <w:p>
            <w:pPr>
              <w:spacing w:before="0" w:after="0" w:line="259" w:lineRule="auto"/>
              <w:ind w:left="108" w:right="0" w:firstLine="0"/>
              <w:jc w:val="left"/>
            </w:pPr>
            <w:r>
              <w:rPr>
                <w:sz w:val="18"/>
              </w:rPr>
              <w:t xml:space="preserve"> </w:t>
            </w:r>
          </w:p>
          <w:p>
            <w:pPr>
              <w:spacing w:before="0" w:after="0" w:line="259" w:lineRule="auto"/>
              <w:ind w:left="108" w:right="0" w:firstLine="0"/>
              <w:jc w:val="left"/>
            </w:pPr>
            <w:r>
              <w:rPr>
                <w:sz w:val="18"/>
              </w:rPr>
              <w:t xml:space="preserve"> </w:t>
            </w:r>
          </w:p>
          <w:p>
            <w:pPr>
              <w:spacing w:before="0" w:after="0" w:line="259" w:lineRule="auto"/>
              <w:ind w:left="108" w:right="0" w:firstLine="0"/>
              <w:jc w:val="left"/>
            </w:pPr>
            <w:r>
              <w:rPr>
                <w:sz w:val="18"/>
              </w:rPr>
              <w:t xml:space="preserve"> </w:t>
            </w:r>
          </w:p>
          <w:p>
            <w:pPr>
              <w:spacing w:before="0" w:after="0" w:line="259" w:lineRule="auto"/>
              <w:ind w:left="108" w:right="0" w:firstLine="0"/>
              <w:jc w:val="left"/>
            </w:pPr>
            <w:r>
              <w:rPr>
                <w:sz w:val="18"/>
              </w:rPr>
              <w:t xml:space="preserve"> </w:t>
            </w:r>
          </w:p>
        </w:tc>
        <w:tc>
          <w:tcPr>
            <w:vMerge w:val="continue"/>
            <w:tcBorders>
              <w:top w:val="nil"/>
              <w:left w:val="single" w:sz="4" w:color="000000"/>
              <w:bottom w:val="nil"/>
              <w:right w:val="nil"/>
            </w:tcBorders>
            <w:vAlign w:val="center"/>
          </w:tcPr>
          <w:p>
            <w:pPr>
              <w:bidi w:val="0"/>
              <w:spacing w:before="0" w:after="160" w:line="259" w:lineRule="auto"/>
              <w:ind w:left="0" w:right="0" w:firstLine="0"/>
              <w:jc w:val="left"/>
            </w:pPr>
          </w:p>
        </w:tc>
      </w:tr>
      <w:tr>
        <w:trPr>
          <w:trHeight w:val="1109" w:hRule="atLeast"/>
        </w:trPr>
        <w:tc>
          <w:tcPr>
            <w:tcW w:w="2879" w:type="dxa"/>
            <w:tcBorders>
              <w:top w:val="single" w:sz="4" w:color="000000"/>
              <w:left w:val="single" w:sz="4" w:color="000000"/>
              <w:bottom w:val="single" w:sz="4" w:color="000000"/>
              <w:right w:val="single" w:sz="4" w:color="000000"/>
            </w:tcBorders>
            <w:vAlign w:val="top"/>
          </w:tcPr>
          <w:p>
            <w:pPr>
              <w:spacing w:before="0" w:after="0" w:line="259" w:lineRule="auto"/>
              <w:ind w:left="106" w:right="0" w:firstLine="0"/>
              <w:jc w:val="left"/>
            </w:pPr>
            <w:r>
              <w:rPr>
                <w:rFonts w:cs="Calibri" w:hAnsi="Calibri" w:eastAsia="Calibri" w:ascii="Calibri"/>
                <w:sz w:val="18"/>
              </w:rPr>
              <w:t xml:space="preserve">Output 2 </w:t>
            </w:r>
          </w:p>
          <w:p>
            <w:pPr>
              <w:spacing w:before="0" w:after="0" w:line="259" w:lineRule="auto"/>
              <w:ind w:left="106" w:right="109" w:firstLine="0"/>
            </w:pPr>
            <w:r>
              <w:rPr>
                <w:sz w:val="18"/>
              </w:rPr>
              <w:t xml:space="preserve">Legal and statutory interventions  strengthening the national gender machinery identified and put in place </w:t>
            </w:r>
          </w:p>
        </w:tc>
        <w:tc>
          <w:tcPr>
            <w:tcW w:w="2700" w:type="dxa"/>
            <w:tcBorders>
              <w:top w:val="single" w:sz="4" w:color="000000"/>
              <w:left w:val="single" w:sz="4" w:color="000000"/>
              <w:bottom w:val="single" w:sz="4" w:color="000000"/>
              <w:right w:val="single" w:sz="4" w:color="000000"/>
            </w:tcBorders>
            <w:vAlign w:val="top"/>
          </w:tcPr>
          <w:p>
            <w:pPr>
              <w:spacing w:before="0" w:after="0" w:line="259" w:lineRule="auto"/>
              <w:ind w:left="107" w:right="0" w:firstLine="0"/>
              <w:jc w:val="left"/>
            </w:pPr>
            <w:r>
              <w:rPr>
                <w:rFonts w:cs="Times New Roman" w:hAnsi="Times New Roman" w:eastAsia="Times New Roman" w:ascii="Times New Roman"/>
                <w:b w:val="1"/>
                <w:sz w:val="18"/>
                <w:u w:val="single" w:color="000000"/>
              </w:rPr>
              <w:t xml:space="preserve">Targets 2011</w:t>
            </w:r>
            <w:r>
              <w:rPr>
                <w:rFonts w:cs="Times New Roman" w:hAnsi="Times New Roman" w:eastAsia="Times New Roman" w:ascii="Times New Roman"/>
                <w:b w:val="1"/>
                <w:sz w:val="18"/>
              </w:rPr>
              <w:t xml:space="preserve"> </w:t>
            </w:r>
          </w:p>
          <w:p>
            <w:pPr>
              <w:spacing w:before="0" w:after="0" w:line="259" w:lineRule="auto"/>
              <w:ind w:left="107" w:right="0" w:firstLine="0"/>
              <w:jc w:val="left"/>
            </w:pPr>
            <w:r>
              <w:rPr>
                <w:rFonts w:cs="Times New Roman" w:hAnsi="Times New Roman" w:eastAsia="Times New Roman" w:ascii="Times New Roman"/>
                <w:sz w:val="18"/>
              </w:rPr>
              <w:t xml:space="preserve"> </w:t>
            </w:r>
          </w:p>
          <w:p>
            <w:pPr>
              <w:spacing w:before="0" w:after="0" w:line="259" w:lineRule="auto"/>
              <w:ind w:left="107" w:right="0" w:firstLine="0"/>
              <w:jc w:val="left"/>
            </w:pPr>
            <w:r>
              <w:rPr>
                <w:sz w:val="18"/>
              </w:rPr>
              <w:t xml:space="preserve">Comprehensive Gender Training strategy for key legislative and independent bodies developed </w:t>
            </w:r>
          </w:p>
        </w:tc>
        <w:tc>
          <w:tcPr>
            <w:tcW w:w="4782" w:type="dxa"/>
            <w:tcBorders>
              <w:top w:val="single" w:sz="4" w:color="000000"/>
              <w:left w:val="single" w:sz="4" w:color="000000"/>
              <w:bottom w:val="single" w:sz="4" w:color="000000"/>
              <w:right w:val="single" w:sz="4" w:color="000000"/>
            </w:tcBorders>
            <w:vAlign w:val="top"/>
          </w:tcPr>
          <w:p>
            <w:pPr>
              <w:spacing w:before="0" w:after="43" w:line="259" w:lineRule="auto"/>
              <w:ind w:left="539" w:right="0" w:firstLine="0"/>
              <w:jc w:val="left"/>
            </w:pPr>
            <w:r>
              <w:rPr>
                <w:sz w:val="18"/>
              </w:rPr>
              <w:t xml:space="preserve"> </w:t>
            </w:r>
          </w:p>
          <w:p>
            <w:pPr>
              <w:spacing w:before="0" w:after="0" w:line="241" w:lineRule="auto"/>
              <w:ind w:left="107" w:right="108" w:firstLine="0"/>
              <w:jc w:val="left"/>
            </w:pPr>
            <w:r>
              <w:rPr>
                <w:sz w:val="18"/>
              </w:rPr>
              <w:t xml:space="preserve">Identify key partners/stakeholders to participate in the gender training strategy  </w:t>
            </w:r>
          </w:p>
          <w:p>
            <w:pPr>
              <w:spacing w:before="0" w:after="0" w:line="259" w:lineRule="auto"/>
              <w:ind w:left="107" w:right="0" w:firstLine="0"/>
              <w:jc w:val="left"/>
            </w:pPr>
            <w:r>
              <w:rPr>
                <w:sz w:val="18"/>
              </w:rPr>
              <w:t xml:space="preserve"> </w:t>
            </w:r>
          </w:p>
        </w:tc>
        <w:tc>
          <w:tcPr>
            <w:tcW w:w="1559" w:type="dxa"/>
            <w:tcBorders>
              <w:top w:val="single" w:sz="4" w:color="000000"/>
              <w:left w:val="single" w:sz="4" w:color="000000"/>
              <w:bottom w:val="single" w:sz="4" w:color="000000"/>
              <w:right w:val="single" w:sz="4" w:color="000000"/>
            </w:tcBorders>
            <w:vAlign w:val="top"/>
          </w:tcPr>
          <w:p>
            <w:pPr>
              <w:spacing w:before="0" w:after="0" w:line="259" w:lineRule="auto"/>
              <w:ind w:left="108" w:right="0" w:firstLine="0"/>
              <w:jc w:val="left"/>
            </w:pPr>
            <w:r>
              <w:rPr>
                <w:sz w:val="18"/>
              </w:rPr>
              <w:t xml:space="preserve">Ministry of Justice </w:t>
            </w:r>
          </w:p>
        </w:tc>
        <w:tc>
          <w:tcPr>
            <w:tcW w:w="1314" w:type="dxa"/>
            <w:tcBorders>
              <w:top w:val="single" w:sz="4" w:color="000000"/>
              <w:left w:val="single" w:sz="4" w:color="000000"/>
              <w:bottom w:val="single" w:sz="4" w:color="000000"/>
              <w:right w:val="nil"/>
            </w:tcBorders>
            <w:vAlign w:val="top"/>
          </w:tcPr>
          <w:p>
            <w:pPr>
              <w:spacing w:before="0" w:after="1" w:line="240" w:lineRule="auto"/>
              <w:ind w:left="106" w:right="0" w:hanging="0"/>
              <w:jc w:val="left"/>
            </w:pPr>
            <w:r>
              <w:rPr>
                <w:sz w:val="18"/>
              </w:rPr>
              <w:t xml:space="preserve">International consultants  National professionals  </w:t>
            </w:r>
          </w:p>
          <w:p>
            <w:pPr>
              <w:spacing w:before="0" w:after="0" w:line="259" w:lineRule="auto"/>
              <w:ind w:left="107" w:right="0" w:firstLine="0"/>
              <w:jc w:val="left"/>
            </w:pPr>
            <w:r>
              <w:rPr>
                <w:sz w:val="18"/>
              </w:rPr>
              <w:t xml:space="preserve">Studies </w:t>
            </w:r>
          </w:p>
        </w:tc>
        <w:tc>
          <w:tcPr>
            <w:tcW w:w="387" w:type="dxa"/>
            <w:tcBorders>
              <w:top w:val="single" w:sz="4" w:color="000000"/>
              <w:left w:val="nil"/>
              <w:bottom w:val="single" w:sz="4" w:color="000000"/>
              <w:right w:val="single" w:sz="4" w:color="000000"/>
            </w:tcBorders>
            <w:vAlign w:val="bottom"/>
          </w:tcPr>
          <w:p>
            <w:pPr>
              <w:spacing w:before="0" w:after="0" w:line="259" w:lineRule="auto"/>
              <w:ind w:left="0" w:right="0" w:firstLine="0"/>
            </w:pPr>
            <w:r>
              <w:rPr>
                <w:sz w:val="18"/>
              </w:rPr>
              <w:t xml:space="preserve">and </w:t>
            </w:r>
          </w:p>
        </w:tc>
        <w:tc>
          <w:tcPr>
            <w:tcW w:w="1282" w:type="dxa"/>
            <w:tcBorders>
              <w:top w:val="single" w:sz="4" w:color="000000"/>
              <w:left w:val="single" w:sz="4" w:color="000000"/>
              <w:bottom w:val="single" w:sz="4" w:color="000000"/>
              <w:right w:val="single" w:sz="4" w:color="000000"/>
            </w:tcBorders>
            <w:vAlign w:val="top"/>
          </w:tcPr>
          <w:p>
            <w:pPr>
              <w:spacing w:before="0" w:after="0" w:line="259" w:lineRule="auto"/>
              <w:ind w:left="108" w:right="0" w:firstLine="0"/>
              <w:jc w:val="left"/>
            </w:pPr>
            <w:r>
              <w:rPr>
                <w:sz w:val="18"/>
              </w:rPr>
              <w:t xml:space="preserve"> </w:t>
            </w:r>
          </w:p>
          <w:p>
            <w:pPr>
              <w:spacing w:before="0" w:after="0" w:line="259" w:lineRule="auto"/>
              <w:ind w:left="108" w:right="0" w:firstLine="0"/>
              <w:jc w:val="left"/>
            </w:pPr>
            <w:r>
              <w:rPr>
                <w:sz w:val="18"/>
              </w:rPr>
              <w:t xml:space="preserve">USD 50,000 </w:t>
            </w:r>
          </w:p>
          <w:p>
            <w:pPr>
              <w:spacing w:before="0" w:after="0" w:line="259" w:lineRule="auto"/>
              <w:ind w:left="108" w:right="0" w:firstLine="0"/>
              <w:jc w:val="left"/>
            </w:pPr>
            <w:r>
              <w:rPr>
                <w:sz w:val="18"/>
              </w:rPr>
              <w:t xml:space="preserve"> </w:t>
            </w:r>
          </w:p>
          <w:p>
            <w:pPr>
              <w:spacing w:before="0" w:after="0" w:line="259" w:lineRule="auto"/>
              <w:ind w:left="108" w:right="0" w:firstLine="0"/>
              <w:jc w:val="left"/>
            </w:pPr>
            <w:r>
              <w:rPr>
                <w:sz w:val="18"/>
              </w:rPr>
              <w:t xml:space="preserve"> </w:t>
            </w:r>
          </w:p>
          <w:p>
            <w:pPr>
              <w:spacing w:before="0" w:after="0" w:line="259" w:lineRule="auto"/>
              <w:ind w:left="108" w:right="0" w:firstLine="0"/>
              <w:jc w:val="left"/>
            </w:pPr>
            <w:r>
              <w:rPr>
                <w:sz w:val="18"/>
              </w:rPr>
              <w:t xml:space="preserve"> </w:t>
            </w:r>
          </w:p>
        </w:tc>
        <w:tc>
          <w:tcPr>
            <w:vMerge w:val="continue"/>
            <w:tcBorders>
              <w:top w:val="nil"/>
              <w:left w:val="single" w:sz="4" w:color="000000"/>
              <w:bottom w:val="nil"/>
              <w:right w:val="nil"/>
            </w:tcBorders>
            <w:vAlign w:val="center"/>
          </w:tcPr>
          <w:p>
            <w:pPr>
              <w:bidi w:val="0"/>
              <w:spacing w:before="0" w:after="160" w:line="259" w:lineRule="auto"/>
              <w:ind w:left="0" w:right="0" w:firstLine="0"/>
              <w:jc w:val="left"/>
            </w:pPr>
          </w:p>
        </w:tc>
      </w:tr>
    </w:tbl>
    <w:p>
      <w:pPr>
        <w:spacing w:before="0" w:after="0" w:line="259" w:lineRule="auto"/>
        <w:ind w:left="-1440" w:right="7992" w:firstLine="0"/>
        <w:jc w:val="left"/>
      </w:pPr>
      <w:r>
        <w:br w:type="page"/>
      </w:r>
    </w:p>
    <w:p>
      <w:pPr>
        <w:spacing w:before="0" w:after="0" w:line="259" w:lineRule="auto"/>
        <w:ind w:left="-1440" w:right="7992" w:firstLine="0"/>
        <w:jc w:val="left"/>
      </w:pPr>
    </w:p>
    <w:tbl>
      <w:tblPr>
        <w:tblStyle w:val="TableGrid"/>
        <w:tblW w:w="14899" w:type="dxa"/>
        <w:tblInd w:w="-732" w:type="dxa"/>
        <w:tblCellMar>
          <w:top w:w="44" w:type="dxa"/>
          <w:left w:w="108" w:type="dxa"/>
          <w:bottom w:w="0" w:type="dxa"/>
          <w:right w:w="44" w:type="dxa"/>
        </w:tblCellMar>
      </w:tblPr>
      <w:tblGrid>
        <w:gridCol w:w="2880"/>
        <w:gridCol w:w="2700"/>
        <w:gridCol w:w="4783"/>
        <w:gridCol w:w="1558"/>
        <w:gridCol w:w="1702"/>
        <w:gridCol w:w="1277"/>
      </w:tblGrid>
      <w:tr>
        <w:trPr>
          <w:trHeight w:val="4094" w:hRule="atLeast"/>
        </w:trPr>
        <w:tc>
          <w:tcPr>
            <w:tcW w:w="2880" w:type="dxa"/>
            <w:vMerge w:val="restart"/>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18"/>
              </w:rPr>
              <w:t xml:space="preserve"> </w:t>
            </w:r>
          </w:p>
          <w:p>
            <w:pPr>
              <w:spacing w:before="0" w:after="31" w:line="259" w:lineRule="auto"/>
              <w:ind w:left="0" w:right="0" w:firstLine="0"/>
              <w:jc w:val="left"/>
            </w:pPr>
            <w:r>
              <w:rPr>
                <w:rFonts w:cs="Calibri" w:hAnsi="Calibri" w:eastAsia="Calibri" w:ascii="Calibri"/>
                <w:sz w:val="18"/>
              </w:rPr>
              <w:t xml:space="preserve">Indicators</w:t>
            </w:r>
            <w:r>
              <w:rPr>
                <w:sz w:val="18"/>
              </w:rPr>
              <w:t xml:space="preserve">: </w:t>
            </w:r>
          </w:p>
          <w:p>
            <w:pPr>
              <w:numPr>
                <w:ilvl w:val="0"/>
                <w:numId w:val="8"/>
              </w:numPr>
              <w:spacing w:before="0" w:after="35" w:line="255" w:lineRule="auto"/>
              <w:ind w:left="360" w:right="0" w:hanging="360"/>
              <w:jc w:val="left"/>
            </w:pPr>
            <w:r>
              <w:rPr>
                <w:sz w:val="18"/>
              </w:rPr>
              <w:t xml:space="preserve">Implementation of the white paper action plan supported </w:t>
            </w:r>
          </w:p>
          <w:p>
            <w:pPr>
              <w:numPr>
                <w:ilvl w:val="0"/>
                <w:numId w:val="8"/>
              </w:numPr>
              <w:spacing w:before="0" w:after="45" w:line="247" w:lineRule="auto"/>
              <w:ind w:left="360" w:right="0" w:hanging="360"/>
              <w:jc w:val="left"/>
            </w:pPr>
            <w:r>
              <w:rPr>
                <w:sz w:val="18"/>
              </w:rPr>
              <w:t xml:space="preserve">Comprehensive and sustained gender training strategy developed  </w:t>
            </w:r>
          </w:p>
          <w:p>
            <w:pPr>
              <w:numPr>
                <w:ilvl w:val="0"/>
                <w:numId w:val="8"/>
              </w:numPr>
              <w:spacing w:before="0" w:after="45" w:line="247" w:lineRule="auto"/>
              <w:ind w:left="360" w:right="0" w:hanging="360"/>
              <w:jc w:val="left"/>
            </w:pPr>
            <w:r>
              <w:rPr>
                <w:sz w:val="18"/>
              </w:rPr>
              <w:t xml:space="preserve">Training on skill building on gender for lawmakers conducted  </w:t>
            </w:r>
          </w:p>
          <w:p>
            <w:pPr>
              <w:numPr>
                <w:ilvl w:val="0"/>
                <w:numId w:val="8"/>
              </w:numPr>
              <w:spacing w:before="0" w:after="43" w:line="247" w:lineRule="auto"/>
              <w:ind w:left="360" w:right="0" w:hanging="360"/>
              <w:jc w:val="left"/>
            </w:pPr>
            <w:r>
              <w:rPr>
                <w:sz w:val="18"/>
              </w:rPr>
              <w:t xml:space="preserve">Evaluation on the proposed legislation on gender or gender related issues undertaken  </w:t>
            </w:r>
          </w:p>
          <w:p>
            <w:pPr>
              <w:numPr>
                <w:ilvl w:val="0"/>
                <w:numId w:val="8"/>
              </w:numPr>
              <w:spacing w:before="0" w:after="44" w:line="245" w:lineRule="auto"/>
              <w:ind w:left="360" w:right="0" w:hanging="360"/>
              <w:jc w:val="left"/>
            </w:pPr>
            <w:r>
              <w:rPr>
                <w:sz w:val="18"/>
              </w:rPr>
              <w:t xml:space="preserve">Review on oppressive statutory practices and customary laws that infringe on women’s rights undertaken </w:t>
            </w:r>
          </w:p>
          <w:p>
            <w:pPr>
              <w:numPr>
                <w:ilvl w:val="0"/>
                <w:numId w:val="8"/>
              </w:numPr>
              <w:spacing w:before="0" w:after="0" w:line="242" w:lineRule="auto"/>
              <w:ind w:left="360" w:right="0" w:hanging="360"/>
              <w:jc w:val="left"/>
            </w:pPr>
            <w:r>
              <w:rPr>
                <w:sz w:val="18"/>
              </w:rPr>
              <w:t xml:space="preserve">Monitoring tool for  laws relating to women’s rights developed </w:t>
            </w:r>
          </w:p>
          <w:p>
            <w:pPr>
              <w:spacing w:before="0" w:after="0" w:line="259" w:lineRule="auto"/>
              <w:ind w:left="0" w:right="0" w:firstLine="0"/>
              <w:jc w:val="left"/>
            </w:pPr>
            <w:r>
              <w:rPr>
                <w:sz w:val="18"/>
              </w:rPr>
              <w:t xml:space="preserve"> </w:t>
            </w:r>
          </w:p>
        </w:tc>
        <w:tc>
          <w:tcPr>
            <w:tcW w:w="2700"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rFonts w:cs="Times New Roman" w:hAnsi="Times New Roman" w:eastAsia="Times New Roman" w:ascii="Times New Roman"/>
                <w:sz w:val="18"/>
              </w:rPr>
              <w:t xml:space="preserve"> </w:t>
            </w:r>
          </w:p>
          <w:p>
            <w:pPr>
              <w:spacing w:before="0" w:after="0" w:line="241" w:lineRule="auto"/>
              <w:ind w:left="0" w:right="0" w:firstLine="0"/>
              <w:jc w:val="left"/>
            </w:pPr>
            <w:r>
              <w:rPr>
                <w:sz w:val="18"/>
              </w:rPr>
              <w:t xml:space="preserve">Training in gender mainstreaming for law makers conducted </w:t>
            </w:r>
          </w:p>
          <w:p>
            <w:pPr>
              <w:spacing w:before="0" w:after="0" w:line="259" w:lineRule="auto"/>
              <w:ind w:left="0" w:right="0" w:firstLine="0"/>
              <w:jc w:val="left"/>
            </w:pPr>
            <w:r>
              <w:rPr>
                <w:rFonts w:cs="Times New Roman" w:hAnsi="Times New Roman" w:eastAsia="Times New Roman" w:ascii="Times New Roman"/>
                <w:sz w:val="18"/>
              </w:rPr>
              <w:t xml:space="preserve"> </w:t>
            </w:r>
          </w:p>
          <w:p>
            <w:pPr>
              <w:spacing w:before="0" w:after="0" w:line="259" w:lineRule="auto"/>
              <w:ind w:left="0" w:right="0" w:firstLine="0"/>
              <w:jc w:val="left"/>
            </w:pPr>
            <w:r>
              <w:rPr>
                <w:rFonts w:cs="Times New Roman" w:hAnsi="Times New Roman" w:eastAsia="Times New Roman" w:ascii="Times New Roman"/>
                <w:sz w:val="18"/>
              </w:rPr>
              <w:t xml:space="preserve"> </w:t>
            </w:r>
          </w:p>
          <w:p>
            <w:pPr>
              <w:spacing w:before="0" w:after="0" w:line="259" w:lineRule="auto"/>
              <w:ind w:left="0" w:right="0" w:firstLine="0"/>
              <w:jc w:val="left"/>
            </w:pPr>
            <w:r>
              <w:rPr>
                <w:sz w:val="18"/>
              </w:rPr>
              <w:t xml:space="preserve"> </w:t>
            </w:r>
          </w:p>
          <w:p>
            <w:pPr>
              <w:spacing w:before="0" w:after="0" w:line="240" w:lineRule="auto"/>
              <w:ind w:left="0" w:right="0" w:firstLine="0"/>
              <w:jc w:val="left"/>
            </w:pPr>
            <w:r>
              <w:rPr>
                <w:sz w:val="18"/>
              </w:rPr>
              <w:t xml:space="preserve">Monitoring tool for implementation of laws that relate to women’s rights developed </w:t>
            </w:r>
          </w:p>
          <w:p>
            <w:pPr>
              <w:spacing w:before="0" w:after="0" w:line="259" w:lineRule="auto"/>
              <w:ind w:left="0" w:right="0" w:firstLine="0"/>
              <w:jc w:val="left"/>
            </w:pPr>
            <w:r>
              <w:rPr>
                <w:rFonts w:cs="Times New Roman" w:hAnsi="Times New Roman" w:eastAsia="Times New Roman" w:ascii="Times New Roman"/>
                <w:sz w:val="18"/>
              </w:rPr>
              <w:t xml:space="preserve"> </w:t>
            </w:r>
          </w:p>
          <w:p>
            <w:pPr>
              <w:spacing w:before="0" w:after="0" w:line="239" w:lineRule="auto"/>
              <w:ind w:left="0" w:right="0" w:firstLine="0"/>
              <w:jc w:val="left"/>
            </w:pPr>
            <w:r>
              <w:rPr>
                <w:sz w:val="18"/>
              </w:rPr>
              <w:t xml:space="preserve">Consultation and sensitation of Justice stakeholders on the implementation of the gender white paper started </w:t>
            </w:r>
          </w:p>
          <w:p>
            <w:pPr>
              <w:spacing w:before="0" w:after="0" w:line="259" w:lineRule="auto"/>
              <w:ind w:left="0" w:right="0" w:firstLine="0"/>
              <w:jc w:val="left"/>
            </w:pPr>
            <w:r>
              <w:rPr>
                <w:rFonts w:cs="Times New Roman" w:hAnsi="Times New Roman" w:eastAsia="Times New Roman" w:ascii="Times New Roman"/>
                <w:sz w:val="18"/>
              </w:rPr>
              <w:t xml:space="preserve"> </w:t>
            </w:r>
          </w:p>
          <w:p>
            <w:pPr>
              <w:spacing w:before="0" w:after="0" w:line="259" w:lineRule="auto"/>
              <w:ind w:left="0" w:right="0" w:firstLine="0"/>
              <w:jc w:val="left"/>
            </w:pPr>
            <w:r>
              <w:rPr>
                <w:rFonts w:cs="Times New Roman" w:hAnsi="Times New Roman" w:eastAsia="Times New Roman" w:ascii="Times New Roman"/>
                <w:sz w:val="18"/>
              </w:rPr>
              <w:t xml:space="preserve"> </w:t>
            </w:r>
          </w:p>
          <w:p>
            <w:pPr>
              <w:spacing w:before="0" w:after="0" w:line="259" w:lineRule="auto"/>
              <w:ind w:left="0" w:right="0" w:firstLine="0"/>
              <w:jc w:val="left"/>
            </w:pPr>
            <w:r>
              <w:rPr>
                <w:rFonts w:cs="Times New Roman" w:hAnsi="Times New Roman" w:eastAsia="Times New Roman" w:ascii="Times New Roman"/>
                <w:sz w:val="18"/>
              </w:rPr>
              <w:t xml:space="preserve"> </w:t>
            </w:r>
          </w:p>
          <w:p>
            <w:pPr>
              <w:spacing w:before="0" w:after="0" w:line="259" w:lineRule="auto"/>
              <w:ind w:left="0" w:right="0" w:firstLine="0"/>
              <w:jc w:val="left"/>
            </w:pPr>
            <w:r>
              <w:rPr>
                <w:sz w:val="18"/>
              </w:rPr>
              <w:t xml:space="preserve"> </w:t>
            </w:r>
          </w:p>
        </w:tc>
        <w:tc>
          <w:tcPr>
            <w:tcW w:w="4783" w:type="dxa"/>
            <w:tcBorders>
              <w:top w:val="single" w:sz="4" w:color="000000"/>
              <w:left w:val="single" w:sz="4" w:color="000000"/>
              <w:bottom w:val="single" w:sz="4" w:color="000000"/>
              <w:right w:val="single" w:sz="4" w:color="000000"/>
            </w:tcBorders>
            <w:vAlign w:val="top"/>
          </w:tcPr>
          <w:p>
            <w:pPr>
              <w:spacing w:before="0" w:after="0" w:line="241" w:lineRule="auto"/>
              <w:ind w:left="0" w:right="0" w:firstLine="0"/>
              <w:jc w:val="left"/>
            </w:pPr>
            <w:r>
              <w:rPr>
                <w:sz w:val="18"/>
              </w:rPr>
              <w:t xml:space="preserve">Develop capacity development strategy and start implementation </w:t>
            </w:r>
          </w:p>
          <w:p>
            <w:pPr>
              <w:spacing w:before="0" w:after="8" w:line="240" w:lineRule="auto"/>
              <w:ind w:left="0" w:right="57" w:firstLine="0"/>
            </w:pPr>
            <w:r>
              <w:rPr>
                <w:sz w:val="18"/>
              </w:rPr>
              <w:t xml:space="preserve">Identify the key players involved in the law making process and conduct a training to enable them to address gender issues in the law making process</w:t>
            </w:r>
            <w:r>
              <w:rPr>
                <w:rFonts w:cs="Times New Roman" w:hAnsi="Times New Roman" w:eastAsia="Times New Roman" w:ascii="Times New Roman"/>
                <w:sz w:val="18"/>
              </w:rPr>
              <w:t xml:space="preserve"> </w:t>
            </w:r>
          </w:p>
          <w:p>
            <w:pPr>
              <w:spacing w:before="0" w:after="41" w:line="259" w:lineRule="auto"/>
              <w:ind w:left="0" w:right="0" w:firstLine="0"/>
              <w:jc w:val="left"/>
            </w:pPr>
            <w:r>
              <w:rPr>
                <w:sz w:val="18"/>
              </w:rPr>
              <w:t xml:space="preserve"> </w:t>
            </w:r>
          </w:p>
          <w:p>
            <w:pPr>
              <w:spacing w:before="0" w:after="0" w:line="259" w:lineRule="auto"/>
              <w:ind w:left="0" w:right="0" w:firstLine="0"/>
              <w:jc w:val="left"/>
            </w:pPr>
            <w:r>
              <w:rPr>
                <w:sz w:val="18"/>
              </w:rPr>
              <w:t xml:space="preserve"> </w:t>
            </w:r>
          </w:p>
          <w:p>
            <w:pPr>
              <w:spacing w:before="0" w:after="2" w:line="239" w:lineRule="auto"/>
              <w:ind w:left="0" w:right="0" w:firstLine="0"/>
            </w:pPr>
            <w:r>
              <w:rPr>
                <w:sz w:val="18"/>
              </w:rPr>
              <w:t xml:space="preserve">Develop a monitoring kit with key stakeholders to ensure implementation of laws relating to gender  </w:t>
            </w:r>
          </w:p>
          <w:p>
            <w:pPr>
              <w:spacing w:before="0" w:after="0" w:line="259" w:lineRule="auto"/>
              <w:ind w:left="0" w:right="0" w:firstLine="0"/>
              <w:jc w:val="left"/>
            </w:pPr>
            <w:r>
              <w:rPr>
                <w:sz w:val="18"/>
              </w:rPr>
              <w:t xml:space="preserve"> </w:t>
            </w:r>
          </w:p>
          <w:p>
            <w:pPr>
              <w:spacing w:before="0" w:after="0" w:line="259" w:lineRule="auto"/>
              <w:ind w:left="0" w:right="0" w:firstLine="0"/>
              <w:jc w:val="left"/>
            </w:pPr>
            <w:r>
              <w:rPr>
                <w:sz w:val="18"/>
              </w:rPr>
              <w:t xml:space="preserve"> </w:t>
            </w:r>
          </w:p>
          <w:p>
            <w:pPr>
              <w:spacing w:before="0" w:after="0" w:line="259" w:lineRule="auto"/>
              <w:ind w:left="0" w:right="0" w:firstLine="0"/>
              <w:jc w:val="left"/>
            </w:pPr>
            <w:r>
              <w:rPr>
                <w:sz w:val="18"/>
              </w:rPr>
              <w:t xml:space="preserve"> </w:t>
            </w:r>
          </w:p>
          <w:p>
            <w:pPr>
              <w:spacing w:before="0" w:after="2" w:line="239" w:lineRule="auto"/>
              <w:ind w:left="0" w:right="0" w:firstLine="0"/>
            </w:pPr>
            <w:r>
              <w:rPr>
                <w:sz w:val="18"/>
              </w:rPr>
              <w:t xml:space="preserve">Install working group to implement/advocate for gender white paper action plan within the Justice sector </w:t>
            </w:r>
          </w:p>
          <w:p>
            <w:pPr>
              <w:spacing w:before="0" w:after="0" w:line="259" w:lineRule="auto"/>
              <w:ind w:left="0" w:right="0" w:firstLine="0"/>
              <w:jc w:val="left"/>
            </w:pPr>
            <w:r>
              <w:rPr>
                <w:sz w:val="18"/>
              </w:rPr>
              <w:t xml:space="preserve"> </w:t>
            </w:r>
          </w:p>
        </w:tc>
        <w:tc>
          <w:tcPr>
            <w:tcW w:w="1558" w:type="dxa"/>
            <w:vMerge w:val="restart"/>
            <w:tcBorders>
              <w:top w:val="single" w:sz="4" w:color="000000"/>
              <w:left w:val="single" w:sz="4" w:color="000000"/>
              <w:bottom w:val="single" w:sz="4" w:color="000000"/>
              <w:right w:val="single" w:sz="4" w:color="000000"/>
            </w:tcBorders>
            <w:vAlign w:val="bottom"/>
          </w:tcPr>
          <w:p>
            <w:pPr>
              <w:bidi w:val="0"/>
              <w:spacing w:before="0" w:after="160" w:line="259" w:lineRule="auto"/>
              <w:ind w:left="0" w:right="0" w:firstLine="0"/>
              <w:jc w:val="left"/>
            </w:pPr>
          </w:p>
        </w:tc>
        <w:tc>
          <w:tcPr>
            <w:tcW w:w="1702" w:type="dxa"/>
            <w:vMerge w:val="restart"/>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18"/>
              </w:rPr>
              <w:t xml:space="preserve">research  </w:t>
            </w:r>
          </w:p>
          <w:p>
            <w:pPr>
              <w:spacing w:before="0" w:after="0" w:line="259" w:lineRule="auto"/>
              <w:ind w:left="0" w:right="0" w:firstLine="0"/>
              <w:jc w:val="left"/>
            </w:pPr>
            <w:r>
              <w:rPr>
                <w:sz w:val="18"/>
              </w:rPr>
              <w:t xml:space="preserve">Workshops/training </w:t>
            </w:r>
            <w:r>
              <w:rPr>
                <w:sz w:val="18"/>
              </w:rPr>
              <w:t xml:space="preserve"> </w:t>
            </w:r>
          </w:p>
          <w:p>
            <w:pPr>
              <w:spacing w:before="0" w:after="0" w:line="259" w:lineRule="auto"/>
              <w:ind w:left="0" w:right="0" w:firstLine="0"/>
              <w:jc w:val="left"/>
            </w:pPr>
            <w:r>
              <w:rPr>
                <w:sz w:val="18"/>
              </w:rPr>
              <w:t xml:space="preserve">Travel    </w:t>
            </w:r>
          </w:p>
          <w:p>
            <w:pPr>
              <w:spacing w:before="0" w:after="2" w:line="239" w:lineRule="auto"/>
              <w:ind w:left="0" w:right="16" w:firstLine="0"/>
              <w:jc w:val="left"/>
            </w:pPr>
            <w:r>
              <w:rPr>
                <w:sz w:val="18"/>
              </w:rPr>
              <w:t xml:space="preserve">Procurement Project </w:t>
            </w:r>
          </w:p>
          <w:p>
            <w:pPr>
              <w:spacing w:before="0" w:after="0" w:line="259" w:lineRule="auto"/>
              <w:ind w:left="0" w:right="0" w:firstLine="0"/>
              <w:jc w:val="left"/>
            </w:pPr>
            <w:r>
              <w:rPr>
                <w:sz w:val="18"/>
              </w:rPr>
              <w:t xml:space="preserve">management </w:t>
            </w:r>
          </w:p>
          <w:p>
            <w:pPr>
              <w:spacing w:before="0" w:after="1" w:line="240" w:lineRule="auto"/>
              <w:ind w:left="0" w:right="0" w:firstLine="0"/>
              <w:jc w:val="left"/>
            </w:pPr>
            <w:r>
              <w:rPr>
                <w:sz w:val="18"/>
              </w:rPr>
              <w:t xml:space="preserve">Miscellaneous Additional national stakeholders: </w:t>
            </w:r>
          </w:p>
          <w:p>
            <w:pPr>
              <w:spacing w:before="0" w:after="0" w:line="259" w:lineRule="auto"/>
              <w:ind w:left="0" w:right="0" w:firstLine="0"/>
              <w:jc w:val="left"/>
            </w:pPr>
            <w:r>
              <w:rPr>
                <w:sz w:val="18"/>
              </w:rPr>
              <w:t xml:space="preserve">Ministry of Justice, </w:t>
            </w:r>
          </w:p>
          <w:p>
            <w:pPr>
              <w:spacing w:before="0" w:after="0" w:line="259" w:lineRule="auto"/>
              <w:ind w:left="0" w:right="0" w:firstLine="0"/>
              <w:jc w:val="left"/>
            </w:pPr>
            <w:r>
              <w:rPr>
                <w:sz w:val="18"/>
              </w:rPr>
              <w:t xml:space="preserve">Law Commission </w:t>
            </w:r>
          </w:p>
        </w:tc>
        <w:tc>
          <w:tcPr>
            <w:tcW w:w="1277"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18"/>
              </w:rPr>
              <w:t xml:space="preserve"> </w:t>
            </w:r>
          </w:p>
          <w:p>
            <w:pPr>
              <w:spacing w:before="0" w:after="0" w:line="259" w:lineRule="auto"/>
              <w:ind w:left="0" w:right="0" w:firstLine="0"/>
              <w:jc w:val="left"/>
            </w:pPr>
            <w:r>
              <w:rPr>
                <w:sz w:val="18"/>
              </w:rPr>
              <w:t xml:space="preserve"> </w:t>
            </w:r>
          </w:p>
          <w:p>
            <w:pPr>
              <w:spacing w:before="0" w:after="0" w:line="259" w:lineRule="auto"/>
              <w:ind w:left="0" w:right="0" w:firstLine="0"/>
              <w:jc w:val="left"/>
            </w:pPr>
            <w:r>
              <w:rPr>
                <w:sz w:val="18"/>
              </w:rPr>
              <w:t xml:space="preserve"> </w:t>
            </w:r>
          </w:p>
          <w:p>
            <w:pPr>
              <w:spacing w:before="0" w:after="0" w:line="259" w:lineRule="auto"/>
              <w:ind w:left="0" w:right="0" w:firstLine="0"/>
              <w:jc w:val="left"/>
            </w:pPr>
            <w:r>
              <w:rPr>
                <w:sz w:val="18"/>
              </w:rPr>
              <w:t xml:space="preserve"> </w:t>
            </w:r>
          </w:p>
          <w:p>
            <w:pPr>
              <w:spacing w:before="0" w:after="0" w:line="259" w:lineRule="auto"/>
              <w:ind w:left="0" w:right="0" w:firstLine="0"/>
              <w:jc w:val="left"/>
            </w:pPr>
            <w:r>
              <w:rPr>
                <w:sz w:val="18"/>
              </w:rPr>
              <w:t xml:space="preserve"> </w:t>
            </w:r>
          </w:p>
          <w:p>
            <w:pPr>
              <w:spacing w:before="0" w:after="0" w:line="259" w:lineRule="auto"/>
              <w:ind w:left="0" w:right="0" w:firstLine="0"/>
              <w:jc w:val="left"/>
            </w:pPr>
            <w:r>
              <w:rPr>
                <w:sz w:val="18"/>
              </w:rPr>
              <w:t xml:space="preserve"> </w:t>
            </w:r>
          </w:p>
          <w:p>
            <w:pPr>
              <w:spacing w:before="0" w:after="0" w:line="259" w:lineRule="auto"/>
              <w:ind w:left="0" w:right="0" w:firstLine="0"/>
              <w:jc w:val="left"/>
            </w:pPr>
            <w:r>
              <w:rPr>
                <w:sz w:val="18"/>
              </w:rPr>
              <w:t xml:space="preserve"> </w:t>
            </w:r>
          </w:p>
          <w:p>
            <w:pPr>
              <w:spacing w:before="0" w:after="0" w:line="259" w:lineRule="auto"/>
              <w:ind w:left="0" w:right="0" w:firstLine="0"/>
              <w:jc w:val="left"/>
            </w:pPr>
            <w:r>
              <w:rPr>
                <w:sz w:val="18"/>
              </w:rPr>
              <w:t xml:space="preserve">USD 25,000 </w:t>
            </w:r>
          </w:p>
        </w:tc>
      </w:tr>
      <w:tr>
        <w:trPr>
          <w:trHeight w:val="3502" w:hRule="atLeast"/>
        </w:trPr>
        <w:tc>
          <w:tcPr>
            <w:vMerge w:val="continue"/>
            <w:tcBorders>
              <w:top w:val="nil"/>
              <w:left w:val="single" w:sz="4" w:color="000000"/>
              <w:bottom w:val="single" w:sz="4" w:color="000000"/>
              <w:right w:val="single" w:sz="4" w:color="000000"/>
            </w:tcBorders>
            <w:vAlign w:val="bottom"/>
          </w:tcPr>
          <w:p>
            <w:pPr>
              <w:bidi w:val="0"/>
              <w:spacing w:before="0" w:after="160" w:line="259" w:lineRule="auto"/>
              <w:ind w:left="0" w:right="0" w:firstLine="0"/>
              <w:jc w:val="left"/>
            </w:pPr>
          </w:p>
        </w:tc>
        <w:tc>
          <w:tcPr>
            <w:tcW w:w="2700"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rFonts w:cs="Calibri" w:hAnsi="Calibri" w:eastAsia="Calibri" w:ascii="Calibri"/>
                <w:sz w:val="18"/>
                <w:u w:val="single" w:color="000000"/>
              </w:rPr>
              <w:t xml:space="preserve">Targets 2012</w:t>
            </w:r>
            <w:r>
              <w:rPr>
                <w:rFonts w:cs="Calibri" w:hAnsi="Calibri" w:eastAsia="Calibri" w:ascii="Calibri"/>
                <w:sz w:val="18"/>
              </w:rPr>
              <w:t xml:space="preserve"> </w:t>
            </w:r>
          </w:p>
          <w:p>
            <w:pPr>
              <w:spacing w:before="0" w:after="0" w:line="259" w:lineRule="auto"/>
              <w:ind w:left="0" w:right="0" w:firstLine="0"/>
              <w:jc w:val="left"/>
            </w:pPr>
            <w:r>
              <w:rPr>
                <w:rFonts w:cs="Times New Roman" w:hAnsi="Times New Roman" w:eastAsia="Times New Roman" w:ascii="Times New Roman"/>
                <w:sz w:val="18"/>
              </w:rPr>
              <w:t xml:space="preserve"> </w:t>
            </w:r>
          </w:p>
          <w:p>
            <w:pPr>
              <w:spacing w:before="0" w:after="1" w:line="240" w:lineRule="auto"/>
              <w:ind w:left="0" w:right="22" w:firstLine="0"/>
              <w:jc w:val="left"/>
            </w:pPr>
            <w:r>
              <w:rPr>
                <w:sz w:val="18"/>
              </w:rPr>
              <w:t xml:space="preserve">Evaluation on proposed legislation on gender or gender related issues finalized </w:t>
            </w:r>
          </w:p>
          <w:p>
            <w:pPr>
              <w:spacing w:before="0" w:after="0" w:line="259" w:lineRule="auto"/>
              <w:ind w:left="0" w:right="0" w:firstLine="0"/>
              <w:jc w:val="left"/>
            </w:pPr>
            <w:r>
              <w:rPr>
                <w:sz w:val="18"/>
              </w:rPr>
              <w:t xml:space="preserve"> </w:t>
            </w:r>
          </w:p>
          <w:p>
            <w:pPr>
              <w:spacing w:before="0" w:after="0" w:line="259" w:lineRule="auto"/>
              <w:ind w:left="0" w:right="0" w:firstLine="0"/>
              <w:jc w:val="left"/>
            </w:pPr>
            <w:r>
              <w:rPr>
                <w:sz w:val="18"/>
              </w:rPr>
              <w:t xml:space="preserve"> </w:t>
            </w:r>
          </w:p>
          <w:p>
            <w:pPr>
              <w:spacing w:before="0" w:after="1" w:line="240" w:lineRule="auto"/>
              <w:ind w:left="0" w:right="54" w:firstLine="0"/>
            </w:pPr>
            <w:r>
              <w:rPr>
                <w:sz w:val="18"/>
              </w:rPr>
              <w:t xml:space="preserve">Review on statutory practices and customary laws that infringe on women’s rights started </w:t>
            </w:r>
          </w:p>
          <w:p>
            <w:pPr>
              <w:spacing w:before="0" w:after="0" w:line="259" w:lineRule="auto"/>
              <w:ind w:left="0" w:right="0" w:firstLine="0"/>
              <w:jc w:val="left"/>
            </w:pPr>
            <w:r>
              <w:rPr>
                <w:sz w:val="18"/>
              </w:rPr>
              <w:t xml:space="preserve"> </w:t>
            </w:r>
          </w:p>
          <w:p>
            <w:pPr>
              <w:spacing w:before="0" w:after="0" w:line="240" w:lineRule="auto"/>
              <w:ind w:left="0" w:right="55" w:firstLine="0"/>
            </w:pPr>
            <w:r>
              <w:rPr>
                <w:sz w:val="18"/>
              </w:rPr>
              <w:t xml:space="preserve">Relevant parts of the Gender white paper action plan implemented  </w:t>
            </w:r>
          </w:p>
          <w:p>
            <w:pPr>
              <w:spacing w:before="0" w:after="0" w:line="259" w:lineRule="auto"/>
              <w:ind w:left="0" w:right="0" w:firstLine="0"/>
              <w:jc w:val="left"/>
            </w:pPr>
            <w:r>
              <w:rPr>
                <w:rFonts w:cs="Times New Roman" w:hAnsi="Times New Roman" w:eastAsia="Times New Roman" w:ascii="Times New Roman"/>
                <w:sz w:val="18"/>
              </w:rPr>
              <w:t xml:space="preserve"> </w:t>
            </w:r>
          </w:p>
          <w:p>
            <w:pPr>
              <w:spacing w:before="0" w:after="0" w:line="259" w:lineRule="auto"/>
              <w:ind w:left="0" w:right="0" w:firstLine="0"/>
              <w:jc w:val="left"/>
            </w:pPr>
            <w:r>
              <w:rPr>
                <w:sz w:val="18"/>
              </w:rPr>
              <w:t xml:space="preserve"> </w:t>
            </w:r>
          </w:p>
        </w:tc>
        <w:tc>
          <w:tcPr>
            <w:tcW w:w="4783"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rFonts w:cs="Times New Roman" w:hAnsi="Times New Roman" w:eastAsia="Times New Roman" w:ascii="Times New Roman"/>
                <w:sz w:val="18"/>
              </w:rPr>
              <w:t xml:space="preserve"> </w:t>
            </w:r>
          </w:p>
          <w:p>
            <w:pPr>
              <w:spacing w:before="0" w:after="48" w:line="259" w:lineRule="auto"/>
              <w:ind w:left="0" w:right="0" w:firstLine="0"/>
              <w:jc w:val="left"/>
            </w:pPr>
            <w:r>
              <w:rPr>
                <w:rFonts w:cs="Times New Roman" w:hAnsi="Times New Roman" w:eastAsia="Times New Roman" w:ascii="Times New Roman"/>
                <w:sz w:val="18"/>
              </w:rPr>
              <w:t xml:space="preserve"> </w:t>
            </w:r>
          </w:p>
          <w:p>
            <w:pPr>
              <w:spacing w:before="0" w:after="54" w:line="240" w:lineRule="auto"/>
              <w:ind w:left="0" w:right="57" w:firstLine="0"/>
            </w:pPr>
            <w:r>
              <w:rPr>
                <w:sz w:val="18"/>
              </w:rPr>
              <w:t xml:space="preserve">Examine the extent at which gender issues are being</w:t>
            </w:r>
            <w:r>
              <w:rPr>
                <w:sz w:val="18"/>
              </w:rPr>
              <w:t xml:space="preserve"> </w:t>
            </w:r>
            <w:r>
              <w:rPr>
                <w:sz w:val="18"/>
              </w:rPr>
              <w:t xml:space="preserve">addressed in proposals on gender or gender related issues (based on monitoring kit)  </w:t>
            </w:r>
          </w:p>
          <w:p>
            <w:pPr>
              <w:spacing w:before="0" w:after="41" w:line="259" w:lineRule="auto"/>
              <w:ind w:left="0" w:right="0" w:firstLine="0"/>
              <w:jc w:val="left"/>
            </w:pPr>
            <w:r>
              <w:rPr>
                <w:rFonts w:cs="Times New Roman" w:hAnsi="Times New Roman" w:eastAsia="Times New Roman" w:ascii="Times New Roman"/>
                <w:sz w:val="18"/>
              </w:rPr>
              <w:t xml:space="preserve"> </w:t>
            </w:r>
          </w:p>
          <w:p>
            <w:pPr>
              <w:spacing w:before="0" w:after="48" w:line="259" w:lineRule="auto"/>
              <w:ind w:left="0" w:right="0" w:firstLine="0"/>
              <w:jc w:val="left"/>
            </w:pPr>
            <w:r>
              <w:rPr>
                <w:rFonts w:cs="Times New Roman" w:hAnsi="Times New Roman" w:eastAsia="Times New Roman" w:ascii="Times New Roman"/>
                <w:sz w:val="18"/>
              </w:rPr>
              <w:t xml:space="preserve"> </w:t>
            </w:r>
          </w:p>
          <w:p>
            <w:pPr>
              <w:spacing w:before="0" w:after="61" w:line="240" w:lineRule="auto"/>
              <w:ind w:left="0" w:right="55" w:firstLine="0"/>
            </w:pPr>
            <w:r>
              <w:rPr>
                <w:sz w:val="18"/>
              </w:rPr>
              <w:t xml:space="preserve">Establish statutory and customary practices that infringe on the rights of women and provide support and advocacy for their review   </w:t>
            </w:r>
          </w:p>
          <w:p>
            <w:pPr>
              <w:spacing w:before="0" w:after="41" w:line="259" w:lineRule="auto"/>
              <w:ind w:left="0" w:right="0" w:firstLine="0"/>
              <w:jc w:val="left"/>
            </w:pPr>
            <w:r>
              <w:rPr>
                <w:sz w:val="18"/>
              </w:rPr>
              <w:t xml:space="preserve"> </w:t>
            </w:r>
          </w:p>
          <w:p>
            <w:pPr>
              <w:spacing w:before="0" w:after="0" w:line="259" w:lineRule="auto"/>
              <w:ind w:left="0" w:right="0" w:firstLine="0"/>
              <w:jc w:val="left"/>
            </w:pPr>
            <w:r>
              <w:rPr>
                <w:sz w:val="18"/>
              </w:rPr>
              <w:t xml:space="preserve"> </w:t>
            </w:r>
          </w:p>
        </w:tc>
        <w:tc>
          <w:tcPr>
            <w:vMerge w:val="continue"/>
            <w:tcBorders>
              <w:top w:val="nil"/>
              <w:left w:val="single" w:sz="4" w:color="000000"/>
              <w:bottom w:val="single" w:sz="4" w:color="000000"/>
              <w:right w:val="single" w:sz="4" w:color="000000"/>
            </w:tcBorders>
            <w:vAlign w:val="center"/>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bottom"/>
          </w:tcPr>
          <w:p>
            <w:pPr>
              <w:bidi w:val="0"/>
              <w:spacing w:before="0" w:after="160" w:line="259" w:lineRule="auto"/>
              <w:ind w:left="0" w:right="0" w:firstLine="0"/>
              <w:jc w:val="left"/>
            </w:pPr>
          </w:p>
        </w:tc>
        <w:tc>
          <w:tcPr>
            <w:tcW w:w="1277"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18"/>
              </w:rPr>
              <w:t xml:space="preserve"> </w:t>
            </w:r>
          </w:p>
          <w:p>
            <w:pPr>
              <w:spacing w:before="0" w:after="0" w:line="259" w:lineRule="auto"/>
              <w:ind w:left="0" w:right="0" w:firstLine="0"/>
              <w:jc w:val="left"/>
            </w:pPr>
            <w:r>
              <w:rPr>
                <w:sz w:val="18"/>
              </w:rPr>
              <w:t xml:space="preserve"> </w:t>
            </w:r>
          </w:p>
          <w:p>
            <w:pPr>
              <w:spacing w:before="0" w:after="0" w:line="259" w:lineRule="auto"/>
              <w:ind w:left="0" w:right="0" w:firstLine="0"/>
              <w:jc w:val="left"/>
            </w:pPr>
            <w:r>
              <w:rPr>
                <w:sz w:val="18"/>
              </w:rPr>
              <w:t xml:space="preserve">USD 10,000 </w:t>
            </w:r>
          </w:p>
          <w:p>
            <w:pPr>
              <w:spacing w:before="0" w:after="0" w:line="259" w:lineRule="auto"/>
              <w:ind w:left="0" w:right="0" w:firstLine="0"/>
              <w:jc w:val="left"/>
            </w:pPr>
            <w:r>
              <w:rPr>
                <w:sz w:val="18"/>
              </w:rPr>
              <w:t xml:space="preserve"> </w:t>
            </w:r>
          </w:p>
          <w:p>
            <w:pPr>
              <w:spacing w:before="0" w:after="0" w:line="259" w:lineRule="auto"/>
              <w:ind w:left="0" w:right="0" w:firstLine="0"/>
              <w:jc w:val="left"/>
            </w:pPr>
            <w:r>
              <w:rPr>
                <w:sz w:val="18"/>
              </w:rPr>
              <w:t xml:space="preserve"> </w:t>
            </w:r>
          </w:p>
          <w:p>
            <w:pPr>
              <w:spacing w:before="0" w:after="0" w:line="259" w:lineRule="auto"/>
              <w:ind w:left="0" w:right="0" w:firstLine="0"/>
              <w:jc w:val="left"/>
            </w:pPr>
            <w:r>
              <w:rPr>
                <w:sz w:val="18"/>
              </w:rPr>
              <w:t xml:space="preserve"> </w:t>
            </w:r>
          </w:p>
          <w:p>
            <w:pPr>
              <w:spacing w:before="0" w:after="0" w:line="259" w:lineRule="auto"/>
              <w:ind w:left="0" w:right="0" w:firstLine="0"/>
              <w:jc w:val="left"/>
            </w:pPr>
            <w:r>
              <w:rPr>
                <w:sz w:val="18"/>
              </w:rPr>
              <w:t xml:space="preserve"> </w:t>
            </w:r>
          </w:p>
          <w:p>
            <w:pPr>
              <w:spacing w:before="0" w:after="0" w:line="259" w:lineRule="auto"/>
              <w:ind w:left="0" w:right="0" w:firstLine="0"/>
              <w:jc w:val="left"/>
            </w:pPr>
            <w:r>
              <w:rPr>
                <w:sz w:val="18"/>
              </w:rPr>
              <w:t xml:space="preserve"> </w:t>
            </w:r>
          </w:p>
          <w:p>
            <w:pPr>
              <w:spacing w:before="0" w:after="0" w:line="259" w:lineRule="auto"/>
              <w:ind w:left="0" w:right="0" w:firstLine="0"/>
              <w:jc w:val="left"/>
            </w:pPr>
            <w:r>
              <w:rPr>
                <w:sz w:val="18"/>
              </w:rPr>
              <w:t xml:space="preserve">USD 10,000 </w:t>
            </w:r>
          </w:p>
        </w:tc>
      </w:tr>
    </w:tbl>
    <w:tbl>
      <w:tblPr>
        <w:tblStyle w:val="TableGrid"/>
        <w:tblW w:w="14899" w:type="dxa"/>
        <w:tblInd w:w="-732" w:type="dxa"/>
        <w:tblCellMar>
          <w:top w:w="44" w:type="dxa"/>
          <w:left w:w="108" w:type="dxa"/>
          <w:bottom w:w="0" w:type="dxa"/>
          <w:right w:w="44" w:type="dxa"/>
        </w:tblCellMar>
      </w:tblPr>
      <w:tblGrid>
        <w:gridCol w:w="2880"/>
        <w:gridCol w:w="2700"/>
        <w:gridCol w:w="4783"/>
        <w:gridCol w:w="1558"/>
        <w:gridCol w:w="1702"/>
        <w:gridCol w:w="1277"/>
      </w:tblGrid>
      <w:tr>
        <w:trPr>
          <w:trHeight w:val="2551" w:hRule="atLeast"/>
        </w:trPr>
        <w:tc>
          <w:tcPr>
            <w:tcW w:w="2880" w:type="dxa"/>
            <w:vMerge w:val="restart"/>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rFonts w:cs="Calibri" w:hAnsi="Calibri" w:eastAsia="Calibri" w:ascii="Calibri"/>
                <w:sz w:val="18"/>
              </w:rPr>
              <w:t xml:space="preserve">Output 3: </w:t>
            </w:r>
          </w:p>
          <w:p>
            <w:pPr>
              <w:spacing w:before="0" w:after="0" w:line="259" w:lineRule="auto"/>
              <w:ind w:left="0" w:right="0" w:firstLine="0"/>
              <w:jc w:val="left"/>
            </w:pPr>
            <w:r>
              <w:rPr>
                <w:rFonts w:cs="Calibri" w:hAnsi="Calibri" w:eastAsia="Calibri" w:ascii="Calibri"/>
                <w:sz w:val="18"/>
              </w:rPr>
              <w:t xml:space="preserve"> </w:t>
            </w:r>
          </w:p>
          <w:p>
            <w:pPr>
              <w:spacing w:before="0" w:after="0" w:line="242" w:lineRule="auto"/>
              <w:ind w:left="0" w:right="0" w:firstLine="0"/>
              <w:jc w:val="left"/>
            </w:pPr>
            <w:r>
              <w:rPr>
                <w:sz w:val="20"/>
              </w:rPr>
              <w:t xml:space="preserve">Woman’s participation in decision making processes in all administrative levels enhanced </w:t>
            </w:r>
          </w:p>
          <w:p>
            <w:pPr>
              <w:spacing w:before="0" w:after="0" w:line="259" w:lineRule="auto"/>
              <w:ind w:left="0" w:right="0" w:firstLine="0"/>
              <w:jc w:val="left"/>
            </w:pPr>
            <w:r>
              <w:rPr>
                <w:sz w:val="20"/>
              </w:rPr>
              <w:t xml:space="preserve"> </w:t>
            </w:r>
          </w:p>
          <w:p>
            <w:pPr>
              <w:spacing w:before="0" w:after="13" w:line="259" w:lineRule="auto"/>
              <w:ind w:left="0" w:right="0" w:firstLine="0"/>
              <w:jc w:val="left"/>
            </w:pPr>
            <w:r>
              <w:rPr>
                <w:rFonts w:cs="Calibri" w:hAnsi="Calibri" w:eastAsia="Calibri" w:ascii="Calibri"/>
                <w:sz w:val="20"/>
              </w:rPr>
              <w:t xml:space="preserve">Indicators</w:t>
            </w:r>
            <w:r>
              <w:rPr>
                <w:sz w:val="20"/>
              </w:rPr>
              <w:t xml:space="preserve">: </w:t>
            </w:r>
          </w:p>
          <w:p>
            <w:pPr>
              <w:numPr>
                <w:ilvl w:val="0"/>
                <w:numId w:val="9"/>
              </w:numPr>
              <w:spacing w:before="0" w:after="42" w:line="247" w:lineRule="auto"/>
              <w:ind w:left="360" w:right="0" w:hanging="360"/>
              <w:jc w:val="left"/>
            </w:pPr>
            <w:r>
              <w:rPr>
                <w:sz w:val="18"/>
              </w:rPr>
              <w:t xml:space="preserve">Study on women’s political and legal empowerment  undertaken </w:t>
            </w:r>
          </w:p>
          <w:p>
            <w:pPr>
              <w:numPr>
                <w:ilvl w:val="0"/>
                <w:numId w:val="9"/>
              </w:numPr>
              <w:spacing w:before="0" w:after="0" w:line="259" w:lineRule="auto"/>
              <w:ind w:left="360" w:right="0" w:hanging="360"/>
              <w:jc w:val="left"/>
            </w:pPr>
            <w:r>
              <w:rPr>
                <w:sz w:val="18"/>
              </w:rPr>
              <w:t xml:space="preserve">Framework for women’s </w:t>
            </w:r>
          </w:p>
          <w:p>
            <w:pPr>
              <w:spacing w:before="0" w:after="0" w:line="259" w:lineRule="auto"/>
              <w:ind w:left="360" w:right="0" w:firstLine="0"/>
              <w:jc w:val="left"/>
            </w:pPr>
            <w:r>
              <w:rPr>
                <w:sz w:val="18"/>
              </w:rPr>
              <w:t xml:space="preserve">political and legal </w:t>
            </w:r>
          </w:p>
          <w:p>
            <w:pPr>
              <w:spacing w:before="0" w:after="0" w:line="259" w:lineRule="auto"/>
              <w:ind w:left="0" w:right="106" w:firstLine="0"/>
              <w:jc w:val="center"/>
            </w:pPr>
            <w:r>
              <w:rPr>
                <w:sz w:val="18"/>
              </w:rPr>
              <w:t xml:space="preserve">empowerment developed </w:t>
            </w:r>
          </w:p>
          <w:p>
            <w:pPr>
              <w:spacing w:before="0" w:after="0" w:line="259" w:lineRule="auto"/>
              <w:ind w:left="0" w:right="0" w:firstLine="0"/>
              <w:jc w:val="left"/>
            </w:pPr>
            <w:r>
              <w:rPr>
                <w:rFonts w:cs="Calibri" w:hAnsi="Calibri" w:eastAsia="Calibri" w:ascii="Calibri"/>
                <w:sz w:val="18"/>
              </w:rPr>
              <w:t xml:space="preserve"> </w:t>
            </w:r>
          </w:p>
        </w:tc>
        <w:tc>
          <w:tcPr>
            <w:tcW w:w="2700"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rFonts w:cs="Calibri" w:hAnsi="Calibri" w:eastAsia="Calibri" w:ascii="Calibri"/>
                <w:sz w:val="18"/>
                <w:u w:val="single" w:color="000000"/>
              </w:rPr>
              <w:t xml:space="preserve">Target 2011:</w:t>
            </w:r>
            <w:r>
              <w:rPr>
                <w:rFonts w:cs="Calibri" w:hAnsi="Calibri" w:eastAsia="Calibri" w:ascii="Calibri"/>
                <w:sz w:val="18"/>
              </w:rPr>
              <w:t xml:space="preserve"> </w:t>
            </w:r>
          </w:p>
          <w:p>
            <w:pPr>
              <w:spacing w:before="0" w:after="0" w:line="259" w:lineRule="auto"/>
              <w:ind w:left="0" w:right="0" w:firstLine="0"/>
              <w:jc w:val="left"/>
            </w:pPr>
            <w:r>
              <w:rPr>
                <w:sz w:val="18"/>
              </w:rPr>
              <w:t xml:space="preserve"> </w:t>
            </w:r>
          </w:p>
          <w:p>
            <w:pPr>
              <w:spacing w:before="0" w:after="0" w:line="241" w:lineRule="auto"/>
              <w:ind w:left="0" w:right="0" w:firstLine="0"/>
            </w:pPr>
            <w:r>
              <w:rPr>
                <w:sz w:val="18"/>
              </w:rPr>
              <w:t xml:space="preserve">Study to assess women’s political and legal participation finalized </w:t>
            </w:r>
          </w:p>
          <w:p>
            <w:pPr>
              <w:spacing w:before="0" w:after="1" w:line="259" w:lineRule="auto"/>
              <w:ind w:left="0" w:right="0" w:firstLine="0"/>
              <w:jc w:val="left"/>
            </w:pPr>
            <w:r>
              <w:rPr>
                <w:sz w:val="18"/>
              </w:rPr>
              <w:t xml:space="preserve"> </w:t>
            </w:r>
          </w:p>
          <w:p>
            <w:pPr>
              <w:tabs>
                <w:tab w:val="center" w:pos="1119"/>
                <w:tab w:val="center" w:pos="1960"/>
                <w:tab w:val="right" w:pos="2548"/>
              </w:tabs>
              <w:spacing w:before="0" w:after="0" w:line="259" w:lineRule="auto"/>
              <w:ind w:left="0" w:right="0" w:firstLine="0"/>
              <w:jc w:val="left"/>
            </w:pPr>
            <w:r>
              <w:rPr>
                <w:rFonts w:cs="Calibri" w:hAnsi="Calibri" w:eastAsia="Calibri" w:ascii="Calibri"/>
                <w:sz w:val="18"/>
              </w:rPr>
              <w:t xml:space="preserve">B</w:t>
            </w:r>
            <w:r>
              <w:rPr>
                <w:sz w:val="18"/>
              </w:rPr>
              <w:t xml:space="preserve">road 	consultations 	with 	all </w:t>
            </w:r>
          </w:p>
          <w:p>
            <w:pPr>
              <w:spacing w:before="0" w:after="0" w:line="259" w:lineRule="auto"/>
              <w:ind w:left="0" w:right="0" w:firstLine="0"/>
              <w:jc w:val="left"/>
            </w:pPr>
            <w:r>
              <w:rPr>
                <w:sz w:val="18"/>
              </w:rPr>
              <w:t xml:space="preserve">stakeholders started </w:t>
            </w:r>
          </w:p>
        </w:tc>
        <w:tc>
          <w:tcPr>
            <w:tcW w:w="4783" w:type="dxa"/>
            <w:tcBorders>
              <w:top w:val="single" w:sz="4" w:color="000000"/>
              <w:left w:val="single" w:sz="4" w:color="000000"/>
              <w:bottom w:val="single" w:sz="4" w:color="000000"/>
              <w:right w:val="single" w:sz="4" w:color="000000"/>
            </w:tcBorders>
            <w:vAlign w:val="top"/>
          </w:tcPr>
          <w:p>
            <w:pPr>
              <w:spacing w:before="0" w:after="43" w:line="259" w:lineRule="auto"/>
              <w:ind w:left="0" w:right="0" w:firstLine="0"/>
              <w:jc w:val="left"/>
            </w:pPr>
            <w:r>
              <w:rPr>
                <w:sz w:val="18"/>
              </w:rPr>
              <w:t xml:space="preserve"> </w:t>
            </w:r>
          </w:p>
          <w:p>
            <w:pPr>
              <w:spacing w:before="0" w:after="41" w:line="259" w:lineRule="auto"/>
              <w:ind w:left="0" w:right="0" w:firstLine="0"/>
              <w:jc w:val="left"/>
            </w:pPr>
            <w:r>
              <w:rPr>
                <w:sz w:val="18"/>
              </w:rPr>
              <w:t xml:space="preserve">Elaborate TOR’s for study with relevant stakeholders </w:t>
            </w:r>
          </w:p>
          <w:p>
            <w:pPr>
              <w:spacing w:before="0" w:after="43" w:line="259" w:lineRule="auto"/>
              <w:ind w:left="0" w:right="0" w:firstLine="0"/>
              <w:jc w:val="left"/>
            </w:pPr>
            <w:r>
              <w:rPr>
                <w:sz w:val="18"/>
              </w:rPr>
              <w:t xml:space="preserve"> </w:t>
            </w:r>
          </w:p>
          <w:p>
            <w:pPr>
              <w:spacing w:before="0" w:after="41" w:line="259" w:lineRule="auto"/>
              <w:ind w:left="0" w:right="0" w:firstLine="0"/>
              <w:jc w:val="left"/>
            </w:pPr>
            <w:r>
              <w:rPr>
                <w:sz w:val="18"/>
              </w:rPr>
              <w:t xml:space="preserve"> </w:t>
            </w:r>
          </w:p>
          <w:p>
            <w:pPr>
              <w:spacing w:before="0" w:after="36" w:line="259" w:lineRule="auto"/>
              <w:ind w:left="0" w:right="0" w:firstLine="0"/>
              <w:jc w:val="left"/>
            </w:pPr>
            <w:r>
              <w:rPr>
                <w:sz w:val="18"/>
              </w:rPr>
              <w:t xml:space="preserve">Conduct nationwide study  </w:t>
            </w:r>
          </w:p>
          <w:p>
            <w:pPr>
              <w:spacing w:before="0" w:after="48" w:line="259" w:lineRule="auto"/>
              <w:ind w:left="0" w:right="0" w:firstLine="0"/>
              <w:jc w:val="left"/>
            </w:pPr>
            <w:r>
              <w:rPr>
                <w:rFonts w:cs="Times New Roman" w:hAnsi="Times New Roman" w:eastAsia="Times New Roman" w:ascii="Times New Roman"/>
                <w:sz w:val="18"/>
              </w:rPr>
              <w:t xml:space="preserve"> </w:t>
            </w:r>
          </w:p>
          <w:p>
            <w:pPr>
              <w:spacing w:before="0" w:after="0" w:line="259" w:lineRule="auto"/>
              <w:ind w:left="0" w:right="0" w:firstLine="0"/>
              <w:jc w:val="left"/>
            </w:pPr>
            <w:r>
              <w:rPr>
                <w:sz w:val="18"/>
              </w:rPr>
              <w:t xml:space="preserve"> </w:t>
            </w:r>
          </w:p>
        </w:tc>
        <w:tc>
          <w:tcPr>
            <w:tcW w:w="1558"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18"/>
              </w:rPr>
              <w:t xml:space="preserve">Ministry of Justice </w:t>
            </w:r>
          </w:p>
          <w:p>
            <w:pPr>
              <w:spacing w:before="0" w:after="0" w:line="259" w:lineRule="auto"/>
              <w:ind w:left="0" w:right="0" w:firstLine="0"/>
              <w:jc w:val="left"/>
            </w:pPr>
            <w:r>
              <w:rPr>
                <w:sz w:val="18"/>
              </w:rPr>
              <w:t xml:space="preserve">Parliament, DCP, </w:t>
            </w:r>
          </w:p>
          <w:p>
            <w:pPr>
              <w:spacing w:before="0" w:after="0" w:line="259" w:lineRule="auto"/>
              <w:ind w:left="0" w:right="0" w:firstLine="0"/>
              <w:jc w:val="left"/>
            </w:pPr>
            <w:r>
              <w:rPr>
                <w:sz w:val="18"/>
              </w:rPr>
              <w:t xml:space="preserve">Ministry of </w:t>
            </w:r>
          </w:p>
          <w:p>
            <w:pPr>
              <w:spacing w:before="0" w:after="0" w:line="259" w:lineRule="auto"/>
              <w:ind w:left="0" w:right="0" w:firstLine="0"/>
              <w:jc w:val="left"/>
            </w:pPr>
            <w:r>
              <w:rPr>
                <w:sz w:val="18"/>
              </w:rPr>
              <w:t xml:space="preserve">Gender, Gender </w:t>
            </w:r>
          </w:p>
          <w:p>
            <w:pPr>
              <w:spacing w:before="0" w:after="0" w:line="259" w:lineRule="auto"/>
              <w:ind w:left="0" w:right="0" w:firstLine="0"/>
              <w:jc w:val="left"/>
            </w:pPr>
            <w:r>
              <w:rPr>
                <w:sz w:val="18"/>
              </w:rPr>
              <w:t xml:space="preserve">SWAP, CSO’s </w:t>
            </w:r>
          </w:p>
        </w:tc>
        <w:tc>
          <w:tcPr>
            <w:tcW w:w="1702" w:type="dxa"/>
            <w:vMerge w:val="restart"/>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18"/>
              </w:rPr>
              <w:t xml:space="preserve">Ministry of Justice, </w:t>
            </w:r>
          </w:p>
          <w:p>
            <w:pPr>
              <w:spacing w:before="0" w:after="0" w:line="259" w:lineRule="auto"/>
              <w:ind w:left="0" w:right="0" w:firstLine="0"/>
              <w:jc w:val="left"/>
            </w:pPr>
            <w:r>
              <w:rPr>
                <w:sz w:val="18"/>
              </w:rPr>
              <w:t xml:space="preserve">Parliament, DCP </w:t>
            </w:r>
          </w:p>
        </w:tc>
        <w:tc>
          <w:tcPr>
            <w:tcW w:w="1277"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18"/>
              </w:rPr>
              <w:t xml:space="preserve"> </w:t>
            </w:r>
          </w:p>
          <w:p>
            <w:pPr>
              <w:spacing w:before="0" w:after="0" w:line="259" w:lineRule="auto"/>
              <w:ind w:left="0" w:right="0" w:firstLine="0"/>
              <w:jc w:val="left"/>
            </w:pPr>
            <w:r>
              <w:rPr>
                <w:sz w:val="18"/>
              </w:rPr>
              <w:t xml:space="preserve"> </w:t>
            </w:r>
          </w:p>
          <w:p>
            <w:pPr>
              <w:spacing w:before="0" w:after="0" w:line="259" w:lineRule="auto"/>
              <w:ind w:left="0" w:right="0" w:firstLine="0"/>
              <w:jc w:val="left"/>
            </w:pPr>
            <w:r>
              <w:rPr>
                <w:sz w:val="18"/>
              </w:rPr>
              <w:t xml:space="preserve">USD 100,000 </w:t>
            </w:r>
          </w:p>
          <w:p>
            <w:pPr>
              <w:spacing w:before="0" w:after="0" w:line="259" w:lineRule="auto"/>
              <w:ind w:left="0" w:right="0" w:firstLine="0"/>
              <w:jc w:val="left"/>
            </w:pPr>
            <w:r>
              <w:rPr>
                <w:sz w:val="18"/>
              </w:rPr>
              <w:t xml:space="preserve"> </w:t>
            </w:r>
          </w:p>
          <w:p>
            <w:pPr>
              <w:spacing w:before="0" w:after="0" w:line="259" w:lineRule="auto"/>
              <w:ind w:left="0" w:right="0" w:firstLine="0"/>
              <w:jc w:val="left"/>
            </w:pPr>
            <w:r>
              <w:rPr>
                <w:sz w:val="18"/>
              </w:rPr>
              <w:t xml:space="preserve"> </w:t>
            </w:r>
          </w:p>
          <w:p>
            <w:pPr>
              <w:spacing w:before="0" w:after="0" w:line="259" w:lineRule="auto"/>
              <w:ind w:left="0" w:right="0" w:firstLine="0"/>
              <w:jc w:val="left"/>
            </w:pPr>
            <w:r>
              <w:rPr>
                <w:sz w:val="18"/>
              </w:rPr>
              <w:t xml:space="preserve">USD 10,000 </w:t>
            </w:r>
          </w:p>
        </w:tc>
      </w:tr>
      <w:tr>
        <w:trPr>
          <w:trHeight w:val="2508" w:hRule="atLeast"/>
        </w:trPr>
        <w:tc>
          <w:tcPr>
            <w:vMerge w:val="continue"/>
            <w:tcBorders>
              <w:top w:val="nil"/>
              <w:left w:val="single" w:sz="4" w:color="000000"/>
              <w:bottom w:val="single" w:sz="4" w:color="000000"/>
              <w:right w:val="single" w:sz="4" w:color="000000"/>
            </w:tcBorders>
            <w:vAlign w:val="center"/>
          </w:tcPr>
          <w:p>
            <w:pPr>
              <w:bidi w:val="0"/>
              <w:spacing w:before="0" w:after="160" w:line="259" w:lineRule="auto"/>
              <w:ind w:left="0" w:right="0" w:firstLine="0"/>
              <w:jc w:val="left"/>
            </w:pPr>
          </w:p>
        </w:tc>
        <w:tc>
          <w:tcPr>
            <w:tcW w:w="2700"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rFonts w:cs="Calibri" w:hAnsi="Calibri" w:eastAsia="Calibri" w:ascii="Calibri"/>
                <w:sz w:val="18"/>
              </w:rPr>
              <w:t xml:space="preserve"> </w:t>
            </w:r>
          </w:p>
          <w:p>
            <w:pPr>
              <w:spacing w:before="0" w:after="0" w:line="259" w:lineRule="auto"/>
              <w:ind w:left="0" w:right="0" w:firstLine="0"/>
              <w:jc w:val="left"/>
            </w:pPr>
            <w:r>
              <w:rPr>
                <w:rFonts w:cs="Calibri" w:hAnsi="Calibri" w:eastAsia="Calibri" w:ascii="Calibri"/>
                <w:sz w:val="18"/>
                <w:u w:val="single" w:color="000000"/>
              </w:rPr>
              <w:t xml:space="preserve">Target 2012:</w:t>
            </w:r>
            <w:r>
              <w:rPr>
                <w:rFonts w:cs="Calibri" w:hAnsi="Calibri" w:eastAsia="Calibri" w:ascii="Calibri"/>
                <w:sz w:val="18"/>
              </w:rPr>
              <w:t xml:space="preserve"> </w:t>
            </w:r>
          </w:p>
          <w:p>
            <w:pPr>
              <w:spacing w:before="0" w:after="0" w:line="259" w:lineRule="auto"/>
              <w:ind w:left="0" w:right="0" w:firstLine="0"/>
              <w:jc w:val="left"/>
            </w:pPr>
            <w:r>
              <w:rPr>
                <w:rFonts w:cs="Calibri" w:hAnsi="Calibri" w:eastAsia="Calibri" w:ascii="Calibri"/>
                <w:sz w:val="18"/>
              </w:rPr>
              <w:t xml:space="preserve"> </w:t>
            </w:r>
          </w:p>
          <w:p>
            <w:pPr>
              <w:spacing w:before="0" w:after="0" w:line="259" w:lineRule="auto"/>
              <w:ind w:left="0" w:right="63" w:firstLine="0"/>
            </w:pPr>
            <w:r>
              <w:rPr>
                <w:sz w:val="18"/>
              </w:rPr>
              <w:t xml:space="preserve">Framework on legal and political empowerment of woman finalized </w:t>
            </w:r>
          </w:p>
        </w:tc>
        <w:tc>
          <w:tcPr>
            <w:tcW w:w="4783" w:type="dxa"/>
            <w:tcBorders>
              <w:top w:val="single" w:sz="4" w:color="000000"/>
              <w:left w:val="single" w:sz="4" w:color="000000"/>
              <w:bottom w:val="single" w:sz="4" w:color="000000"/>
              <w:right w:val="single" w:sz="4" w:color="000000"/>
            </w:tcBorders>
            <w:vAlign w:val="top"/>
          </w:tcPr>
          <w:p>
            <w:pPr>
              <w:spacing w:before="0" w:after="43" w:line="259" w:lineRule="auto"/>
              <w:ind w:left="0" w:right="0" w:firstLine="0"/>
              <w:jc w:val="left"/>
            </w:pPr>
            <w:r>
              <w:rPr>
                <w:sz w:val="18"/>
              </w:rPr>
              <w:t xml:space="preserve"> </w:t>
            </w:r>
          </w:p>
          <w:p>
            <w:pPr>
              <w:spacing w:before="0" w:after="61" w:line="240" w:lineRule="auto"/>
              <w:ind w:left="0" w:right="66" w:firstLine="0"/>
            </w:pPr>
            <w:r>
              <w:rPr>
                <w:sz w:val="18"/>
              </w:rPr>
              <w:t xml:space="preserve">National stakeholder consultation process within the Democratic Governance Sector on the legal and political participation and formulation of a framework paper and broad gender capacity building plan based on assessments undertaken. </w:t>
            </w:r>
          </w:p>
          <w:p>
            <w:pPr>
              <w:spacing w:before="0" w:after="41" w:line="259" w:lineRule="auto"/>
              <w:ind w:left="0" w:right="0" w:firstLine="0"/>
              <w:jc w:val="left"/>
            </w:pPr>
            <w:r>
              <w:rPr>
                <w:sz w:val="18"/>
              </w:rPr>
              <w:t xml:space="preserve"> </w:t>
            </w:r>
          </w:p>
          <w:p>
            <w:pPr>
              <w:spacing w:before="0" w:after="58" w:line="241" w:lineRule="auto"/>
              <w:ind w:left="0" w:right="0" w:firstLine="0"/>
            </w:pPr>
            <w:r>
              <w:rPr>
                <w:sz w:val="18"/>
              </w:rPr>
              <w:t xml:space="preserve">Draft program support document on woman’s legal and</w:t>
            </w:r>
            <w:r>
              <w:rPr>
                <w:sz w:val="18"/>
              </w:rPr>
              <w:t xml:space="preserve"> </w:t>
            </w:r>
            <w:r>
              <w:rPr>
                <w:sz w:val="18"/>
              </w:rPr>
              <w:t xml:space="preserve">political empowerment in Malawi developed </w:t>
            </w:r>
          </w:p>
          <w:p>
            <w:pPr>
              <w:spacing w:before="0" w:after="0" w:line="259" w:lineRule="auto"/>
              <w:ind w:left="0" w:right="0" w:firstLine="0"/>
              <w:jc w:val="left"/>
            </w:pPr>
            <w:r>
              <w:rPr>
                <w:sz w:val="18"/>
              </w:rPr>
              <w:t xml:space="preserve"> </w:t>
            </w:r>
          </w:p>
        </w:tc>
        <w:tc>
          <w:tcPr>
            <w:tcW w:w="1558"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18"/>
              </w:rPr>
              <w:t xml:space="preserve">Ministry of Justice  </w:t>
            </w:r>
          </w:p>
          <w:p>
            <w:pPr>
              <w:spacing w:before="0" w:after="0" w:line="259" w:lineRule="auto"/>
              <w:ind w:left="0" w:right="0" w:firstLine="0"/>
              <w:jc w:val="left"/>
            </w:pPr>
            <w:r>
              <w:rPr>
                <w:sz w:val="18"/>
              </w:rPr>
              <w:t xml:space="preserve">Parliament, DCP, </w:t>
            </w:r>
          </w:p>
          <w:p>
            <w:pPr>
              <w:spacing w:before="0" w:after="0" w:line="259" w:lineRule="auto"/>
              <w:ind w:left="0" w:right="0" w:firstLine="0"/>
              <w:jc w:val="left"/>
            </w:pPr>
            <w:r>
              <w:rPr>
                <w:sz w:val="18"/>
              </w:rPr>
              <w:t xml:space="preserve">Ministry of </w:t>
            </w:r>
          </w:p>
          <w:p>
            <w:pPr>
              <w:spacing w:before="0" w:after="0" w:line="259" w:lineRule="auto"/>
              <w:ind w:left="0" w:right="0" w:firstLine="0"/>
              <w:jc w:val="left"/>
            </w:pPr>
            <w:r>
              <w:rPr>
                <w:sz w:val="18"/>
              </w:rPr>
              <w:t xml:space="preserve">Gender, Gender </w:t>
            </w:r>
          </w:p>
          <w:p>
            <w:pPr>
              <w:spacing w:before="0" w:after="0" w:line="259" w:lineRule="auto"/>
              <w:ind w:left="0" w:right="0" w:firstLine="0"/>
              <w:jc w:val="left"/>
            </w:pPr>
            <w:r>
              <w:rPr>
                <w:sz w:val="18"/>
              </w:rPr>
              <w:t xml:space="preserve">SWAP, CSO’s </w:t>
            </w: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277"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18"/>
              </w:rPr>
              <w:t xml:space="preserve"> </w:t>
            </w:r>
          </w:p>
          <w:p>
            <w:pPr>
              <w:spacing w:before="0" w:after="0" w:line="259" w:lineRule="auto"/>
              <w:ind w:left="0" w:right="0" w:firstLine="0"/>
              <w:jc w:val="left"/>
            </w:pPr>
            <w:r>
              <w:rPr>
                <w:sz w:val="18"/>
              </w:rPr>
              <w:t xml:space="preserve"> </w:t>
            </w:r>
          </w:p>
          <w:p>
            <w:pPr>
              <w:spacing w:before="0" w:after="0" w:line="259" w:lineRule="auto"/>
              <w:ind w:left="0" w:right="0" w:firstLine="0"/>
              <w:jc w:val="left"/>
            </w:pPr>
            <w:r>
              <w:rPr>
                <w:sz w:val="18"/>
              </w:rPr>
              <w:t xml:space="preserve">USD 25,000 </w:t>
            </w:r>
          </w:p>
        </w:tc>
      </w:tr>
    </w:tbl>
    <w:p>
      <w:pPr>
        <w:spacing w:before="0" w:after="0" w:line="259" w:lineRule="auto"/>
        <w:ind w:left="0" w:right="0" w:firstLine="0"/>
      </w:pPr>
      <w:r>
        <w:rPr>
          <w:sz w:val="20"/>
        </w:rPr>
        <w:t xml:space="preserve"> </w:t>
      </w:r>
    </w:p>
    <w:p>
      <w:pPr>
        <w:spacing w:before="0" w:after="0" w:line="259" w:lineRule="auto"/>
        <w:ind w:left="0" w:right="0" w:firstLine="0"/>
      </w:pPr>
      <w:r>
        <w:rPr>
          <w:sz w:val="20"/>
        </w:rPr>
        <w:t xml:space="preserve"> </w:t>
      </w:r>
    </w:p>
    <w:p>
      <w:pPr>
        <w:spacing w:before="0" w:after="0" w:line="259" w:lineRule="auto"/>
        <w:ind w:left="0" w:right="0" w:firstLine="0"/>
      </w:pPr>
      <w:r>
        <w:rPr>
          <w:sz w:val="20"/>
        </w:rPr>
        <w:t xml:space="preserve"> </w:t>
      </w:r>
    </w:p>
    <w:p>
      <w:pPr>
        <w:spacing w:before="0" w:after="0" w:line="259" w:lineRule="auto"/>
        <w:ind w:left="0" w:right="0" w:firstLine="0"/>
      </w:pPr>
      <w:r>
        <w:rPr>
          <w:sz w:val="20"/>
        </w:rPr>
        <w:t xml:space="preserve"> </w:t>
      </w:r>
    </w:p>
    <w:p>
      <w:pPr>
        <w:spacing w:before="0" w:after="0" w:line="259" w:lineRule="auto"/>
        <w:ind w:left="0" w:right="0" w:firstLine="0"/>
      </w:pPr>
      <w:r>
        <w:rPr>
          <w:sz w:val="20"/>
        </w:rPr>
        <w:t xml:space="preserve"> </w:t>
      </w:r>
    </w:p>
    <w:p>
      <w:pPr>
        <w:spacing w:before="0" w:after="57" w:line="259" w:lineRule="auto"/>
        <w:ind w:left="0" w:right="0" w:firstLine="0"/>
      </w:pPr>
      <w:r>
        <w:rPr>
          <w:sz w:val="20"/>
        </w:rPr>
        <w:t xml:space="preserve"> </w:t>
      </w:r>
    </w:p>
    <w:p>
      <w:pPr>
        <w:spacing w:before="0" w:after="0" w:line="259" w:lineRule="auto"/>
        <w:ind w:left="0" w:right="0" w:firstLine="0"/>
      </w:pPr>
      <w:r>
        <w:rPr>
          <w:rFonts w:cs="Calibri" w:hAnsi="Calibri" w:eastAsia="Calibri" w:ascii="Calibri"/>
          <w:sz w:val="28"/>
        </w:rPr>
        <w:t xml:space="preserve"> </w:t>
      </w:r>
    </w:p>
    <w:p>
      <w:pPr>
        <w:spacing w:before="0" w:after="0" w:line="259" w:lineRule="auto"/>
        <w:ind w:left="0" w:right="0" w:firstLine="0"/>
      </w:pPr>
      <w:r>
        <w:rPr>
          <w:rFonts w:cs="Calibri" w:hAnsi="Calibri" w:eastAsia="Calibri" w:ascii="Calibri"/>
          <w:sz w:val="28"/>
        </w:rPr>
        <w:t xml:space="preserve"> </w:t>
      </w:r>
    </w:p>
    <w:p>
      <w:pPr>
        <w:spacing w:before="0" w:after="0" w:line="259" w:lineRule="auto"/>
        <w:ind w:left="0" w:right="0" w:firstLine="0"/>
      </w:pPr>
      <w:r>
        <w:rPr>
          <w:rFonts w:cs="Calibri" w:hAnsi="Calibri" w:eastAsia="Calibri" w:ascii="Calibri"/>
          <w:sz w:val="28"/>
        </w:rPr>
        <w:t xml:space="preserve"> </w:t>
      </w:r>
    </w:p>
    <w:p>
      <w:pPr>
        <w:spacing w:before="0" w:after="0" w:line="259" w:lineRule="auto"/>
        <w:ind w:left="0" w:right="0" w:firstLine="0"/>
      </w:pPr>
      <w:r>
        <w:rPr>
          <w:rFonts w:cs="Calibri" w:hAnsi="Calibri" w:eastAsia="Calibri" w:ascii="Calibri"/>
          <w:sz w:val="28"/>
        </w:rPr>
        <w:t xml:space="preserve"> </w:t>
      </w:r>
    </w:p>
    <w:p>
      <w:pPr>
        <w:spacing w:before="0" w:after="0" w:line="259" w:lineRule="auto"/>
        <w:ind w:left="0" w:right="0" w:firstLine="0"/>
      </w:pPr>
      <w:r>
        <w:rPr>
          <w:rFonts w:cs="Calibri" w:hAnsi="Calibri" w:eastAsia="Calibri" w:ascii="Calibri"/>
          <w:sz w:val="28"/>
        </w:rPr>
        <w:t xml:space="preserve"> </w:t>
      </w:r>
    </w:p>
    <w:p>
      <w:pPr>
        <w:spacing w:before="0" w:after="0" w:line="259" w:lineRule="auto"/>
        <w:ind w:left="0" w:right="0" w:firstLine="0"/>
      </w:pPr>
      <w:r>
        <w:rPr>
          <w:rFonts w:cs="Calibri" w:hAnsi="Calibri" w:eastAsia="Calibri" w:ascii="Calibri"/>
          <w:sz w:val="28"/>
        </w:rPr>
        <w:t xml:space="preserve"> </w:t>
      </w:r>
    </w:p>
    <w:p>
      <w:pPr>
        <w:spacing w:before="0" w:after="0" w:line="259" w:lineRule="auto"/>
        <w:ind w:left="0" w:right="0" w:firstLine="0"/>
      </w:pPr>
      <w:r>
        <w:rPr>
          <w:rFonts w:cs="Calibri" w:hAnsi="Calibri" w:eastAsia="Calibri" w:ascii="Calibri"/>
          <w:sz w:val="28"/>
        </w:rPr>
        <w:t xml:space="preserve"> </w:t>
      </w:r>
    </w:p>
    <w:p>
      <w:pPr>
        <w:spacing w:before="0" w:after="0" w:line="259" w:lineRule="auto"/>
        <w:ind w:left="0" w:right="0" w:firstLine="0"/>
        <w:jc w:val="left"/>
      </w:pPr>
      <w:r>
        <w:rPr>
          <w:rFonts w:cs="Calibri" w:hAnsi="Calibri" w:eastAsia="Calibri" w:ascii="Calibri"/>
          <w:sz w:val="28"/>
        </w:rPr>
        <w:t xml:space="preserve"> </w:t>
      </w:r>
    </w:p>
    <w:p>
      <w:pPr>
        <w:spacing w:before="0" w:after="0" w:line="259" w:lineRule="auto"/>
        <w:ind w:left="0" w:right="0" w:firstLine="0"/>
        <w:jc w:val="left"/>
      </w:pPr>
      <w:r>
        <w:rPr>
          <w:rFonts w:cs="Calibri" w:hAnsi="Calibri" w:eastAsia="Calibri" w:ascii="Calibri"/>
          <w:sz w:val="28"/>
        </w:rPr>
        <w:t xml:space="preserve"> </w:t>
      </w:r>
    </w:p>
    <w:p>
      <w:pPr>
        <w:spacing w:before="0" w:after="0" w:line="259" w:lineRule="auto"/>
        <w:ind w:left="0" w:right="0" w:firstLine="0"/>
        <w:jc w:val="left"/>
      </w:pPr>
      <w:r>
        <w:rPr>
          <w:rFonts w:cs="Calibri" w:hAnsi="Calibri" w:eastAsia="Calibri" w:ascii="Calibri"/>
          <w:sz w:val="28"/>
        </w:rPr>
        <w:t xml:space="preserve">Annex 2: Risk Log </w:t>
      </w:r>
    </w:p>
    <w:p>
      <w:pPr>
        <w:spacing w:before="0" w:after="0" w:line="259" w:lineRule="auto"/>
        <w:ind w:left="0" w:right="0" w:firstLine="0"/>
        <w:jc w:val="left"/>
      </w:pPr>
      <w:r>
        <w:rPr>
          <w:rFonts w:cs="Calibri" w:hAnsi="Calibri" w:eastAsia="Calibri" w:ascii="Calibri"/>
          <w:sz w:val="28"/>
        </w:rPr>
        <w:t xml:space="preserve"> </w:t>
      </w:r>
    </w:p>
    <w:tbl>
      <w:tblPr>
        <w:tblStyle w:val="TableGrid"/>
        <w:tblW w:w="13691" w:type="dxa"/>
        <w:tblInd w:w="-211" w:type="dxa"/>
        <w:tblCellMar>
          <w:top w:w="34" w:type="dxa"/>
          <w:left w:w="0" w:type="dxa"/>
          <w:bottom w:w="0" w:type="dxa"/>
          <w:right w:w="53" w:type="dxa"/>
        </w:tblCellMar>
      </w:tblPr>
      <w:tblGrid>
        <w:gridCol w:w="1202"/>
        <w:gridCol w:w="235"/>
        <w:gridCol w:w="774"/>
        <w:gridCol w:w="1134"/>
        <w:gridCol w:w="468"/>
        <w:gridCol w:w="1258"/>
        <w:gridCol w:w="967"/>
        <w:gridCol w:w="2551"/>
        <w:gridCol w:w="1702"/>
        <w:gridCol w:w="1702"/>
        <w:gridCol w:w="1698"/>
      </w:tblGrid>
      <w:tr>
        <w:trPr>
          <w:trHeight w:val="800" w:hRule="atLeast"/>
        </w:trPr>
        <w:tc>
          <w:tcPr>
            <w:tcW w:w="1438" w:type="dxa"/>
            <w:gridSpan w:val="2"/>
            <w:vMerge w:val="restart"/>
            <w:tcBorders>
              <w:top w:val="single" w:sz="8" w:color="000000"/>
              <w:left w:val="single" w:sz="8" w:color="000000"/>
              <w:bottom w:val="single" w:sz="8" w:color="000000"/>
              <w:right w:val="single" w:sz="8" w:color="000000"/>
            </w:tcBorders>
            <w:shd w:val="clear" w:fill="ffcc00"/>
            <w:vAlign w:val="center"/>
          </w:tcPr>
          <w:p>
            <w:pPr>
              <w:spacing w:before="0" w:after="0" w:line="259" w:lineRule="auto"/>
              <w:ind w:left="106" w:right="0" w:firstLine="0"/>
              <w:jc w:val="left"/>
            </w:pPr>
            <w:r>
              <w:rPr>
                <w:rFonts w:cs="Times New Roman" w:hAnsi="Times New Roman" w:eastAsia="Times New Roman" w:ascii="Times New Roman"/>
                <w:b w:val="1"/>
                <w:sz w:val="22"/>
              </w:rPr>
              <w:t xml:space="preserve">Critical </w:t>
            </w:r>
          </w:p>
          <w:p>
            <w:pPr>
              <w:spacing w:before="0" w:after="0" w:line="259" w:lineRule="auto"/>
              <w:ind w:left="106" w:right="0" w:firstLine="0"/>
              <w:jc w:val="left"/>
            </w:pPr>
            <w:r>
              <w:rPr>
                <w:rFonts w:cs="Times New Roman" w:hAnsi="Times New Roman" w:eastAsia="Times New Roman" w:ascii="Times New Roman"/>
                <w:b w:val="1"/>
                <w:sz w:val="22"/>
              </w:rPr>
              <w:t xml:space="preserve">Issue/Event</w:t>
            </w:r>
            <w:r>
              <w:rPr>
                <w:rFonts w:cs="Times New Roman" w:hAnsi="Times New Roman" w:eastAsia="Times New Roman" w:ascii="Times New Roman"/>
                <w:b w:val="1"/>
              </w:rPr>
              <w:t xml:space="preserve"> </w:t>
            </w:r>
          </w:p>
        </w:tc>
        <w:tc>
          <w:tcPr>
            <w:tcW w:w="774" w:type="dxa"/>
            <w:vMerge w:val="restart"/>
            <w:tcBorders>
              <w:top w:val="single" w:sz="8" w:color="000000"/>
              <w:left w:val="single" w:sz="8" w:color="000000"/>
              <w:bottom w:val="single" w:sz="8" w:color="000000"/>
              <w:right w:val="single" w:sz="8" w:color="000000"/>
            </w:tcBorders>
            <w:shd w:val="clear" w:fill="ffcc00"/>
            <w:vAlign w:val="center"/>
          </w:tcPr>
          <w:p>
            <w:pPr>
              <w:spacing w:before="0" w:after="0" w:line="259" w:lineRule="auto"/>
              <w:ind w:left="108" w:right="0" w:firstLine="0"/>
              <w:jc w:val="left"/>
            </w:pPr>
            <w:r>
              <w:rPr>
                <w:rFonts w:cs="Times New Roman" w:hAnsi="Times New Roman" w:eastAsia="Times New Roman" w:ascii="Times New Roman"/>
                <w:b w:val="1"/>
                <w:sz w:val="22"/>
              </w:rPr>
              <w:t xml:space="preserve">Dead</w:t>
            </w:r>
            <w:r>
              <w:rPr>
                <w:rFonts w:cs="Times New Roman" w:hAnsi="Times New Roman" w:eastAsia="Times New Roman" w:ascii="Times New Roman"/>
                <w:b w:val="1"/>
              </w:rPr>
              <w:t xml:space="preserve"> </w:t>
            </w:r>
          </w:p>
          <w:p>
            <w:pPr>
              <w:spacing w:before="0" w:after="0" w:line="259" w:lineRule="auto"/>
              <w:ind w:left="108" w:right="0" w:firstLine="0"/>
              <w:jc w:val="left"/>
            </w:pPr>
            <w:r>
              <w:rPr>
                <w:rFonts w:cs="Times New Roman" w:hAnsi="Times New Roman" w:eastAsia="Times New Roman" w:ascii="Times New Roman"/>
                <w:b w:val="1"/>
                <w:sz w:val="22"/>
              </w:rPr>
              <w:t xml:space="preserve">line</w:t>
            </w:r>
            <w:r>
              <w:rPr>
                <w:rFonts w:cs="Times New Roman" w:hAnsi="Times New Roman" w:eastAsia="Times New Roman" w:ascii="Times New Roman"/>
                <w:b w:val="1"/>
              </w:rPr>
              <w:t xml:space="preserve"> </w:t>
            </w:r>
          </w:p>
        </w:tc>
        <w:tc>
          <w:tcPr>
            <w:tcW w:w="1134" w:type="dxa"/>
            <w:vMerge w:val="restart"/>
            <w:tcBorders>
              <w:top w:val="single" w:sz="8" w:color="000000"/>
              <w:left w:val="single" w:sz="8" w:color="000000"/>
              <w:bottom w:val="single" w:sz="8" w:color="000000"/>
              <w:right w:val="single" w:sz="8" w:color="000000"/>
            </w:tcBorders>
            <w:shd w:val="clear" w:fill="ffcc00"/>
            <w:vAlign w:val="center"/>
          </w:tcPr>
          <w:p>
            <w:pPr>
              <w:spacing w:before="0" w:after="0" w:line="259" w:lineRule="auto"/>
              <w:ind w:left="107" w:right="0" w:firstLine="0"/>
              <w:jc w:val="left"/>
            </w:pPr>
            <w:r>
              <w:rPr>
                <w:rFonts w:cs="Times New Roman" w:hAnsi="Times New Roman" w:eastAsia="Times New Roman" w:ascii="Times New Roman"/>
                <w:b w:val="1"/>
                <w:sz w:val="22"/>
              </w:rPr>
              <w:t xml:space="preserve">Stakehol ders </w:t>
            </w:r>
            <w:r>
              <w:rPr>
                <w:rFonts w:cs="Times New Roman" w:hAnsi="Times New Roman" w:eastAsia="Times New Roman" w:ascii="Times New Roman"/>
                <w:b w:val="1"/>
              </w:rPr>
              <w:t xml:space="preserve"> </w:t>
            </w:r>
          </w:p>
        </w:tc>
        <w:tc>
          <w:tcPr>
            <w:tcW w:w="2693" w:type="dxa"/>
            <w:gridSpan w:val="3"/>
            <w:tcBorders>
              <w:top w:val="single" w:sz="8" w:color="000000"/>
              <w:left w:val="single" w:sz="8" w:color="000000"/>
              <w:bottom w:val="single" w:sz="8" w:color="000000"/>
              <w:right w:val="single" w:sz="8" w:color="000000"/>
            </w:tcBorders>
            <w:shd w:val="clear" w:fill="ffcc00"/>
            <w:vAlign w:val="top"/>
          </w:tcPr>
          <w:p>
            <w:pPr>
              <w:spacing w:before="0" w:after="0" w:line="259" w:lineRule="auto"/>
              <w:ind w:left="108" w:right="0" w:firstLine="0"/>
              <w:jc w:val="left"/>
            </w:pPr>
            <w:r>
              <w:rPr>
                <w:rFonts w:cs="Times New Roman" w:hAnsi="Times New Roman" w:eastAsia="Times New Roman" w:ascii="Times New Roman"/>
                <w:b w:val="1"/>
                <w:sz w:val="22"/>
              </w:rPr>
              <w:t xml:space="preserve">What stakeholders need </w:t>
            </w:r>
          </w:p>
          <w:p>
            <w:pPr>
              <w:spacing w:before="0" w:after="0" w:line="259" w:lineRule="auto"/>
              <w:ind w:left="108" w:right="0" w:firstLine="0"/>
              <w:jc w:val="left"/>
            </w:pPr>
            <w:r>
              <w:rPr>
                <w:rFonts w:cs="Times New Roman" w:hAnsi="Times New Roman" w:eastAsia="Times New Roman" w:ascii="Times New Roman"/>
                <w:b w:val="1"/>
                <w:sz w:val="22"/>
              </w:rPr>
              <w:t xml:space="preserve">to do</w:t>
            </w:r>
            <w:r>
              <w:rPr>
                <w:rFonts w:cs="Times New Roman" w:hAnsi="Times New Roman" w:eastAsia="Times New Roman" w:ascii="Times New Roman"/>
                <w:b w:val="1"/>
              </w:rPr>
              <w:t xml:space="preserve"> </w:t>
            </w:r>
          </w:p>
          <w:p>
            <w:pPr>
              <w:spacing w:before="0" w:after="0" w:line="259" w:lineRule="auto"/>
              <w:ind w:left="108" w:right="0" w:firstLine="0"/>
              <w:jc w:val="left"/>
            </w:pPr>
            <w:r>
              <w:rPr>
                <w:rFonts w:cs="Times New Roman" w:hAnsi="Times New Roman" w:eastAsia="Times New Roman" w:ascii="Times New Roman"/>
                <w:b w:val="1"/>
                <w:sz w:val="22"/>
              </w:rPr>
              <w:t xml:space="preserve">                            </w:t>
            </w:r>
            <w:r>
              <w:rPr>
                <w:rFonts w:cs="Times New Roman" w:hAnsi="Times New Roman" w:eastAsia="Times New Roman" w:ascii="Times New Roman"/>
                <w:b w:val="1"/>
              </w:rPr>
              <w:t xml:space="preserve"> </w:t>
            </w:r>
          </w:p>
        </w:tc>
        <w:tc>
          <w:tcPr>
            <w:tcW w:w="2551" w:type="dxa"/>
            <w:vMerge w:val="restart"/>
            <w:tcBorders>
              <w:top w:val="single" w:sz="8" w:color="000000"/>
              <w:left w:val="single" w:sz="8" w:color="000000"/>
              <w:bottom w:val="single" w:sz="8" w:color="000000"/>
              <w:right w:val="single" w:sz="8" w:color="000000"/>
            </w:tcBorders>
            <w:shd w:val="clear" w:fill="ffcc00"/>
            <w:vAlign w:val="center"/>
          </w:tcPr>
          <w:p>
            <w:pPr>
              <w:spacing w:before="0" w:after="15" w:line="236" w:lineRule="auto"/>
              <w:ind w:left="0" w:right="0" w:firstLine="0"/>
              <w:jc w:val="center"/>
            </w:pPr>
            <w:r>
              <w:rPr>
                <w:rFonts w:cs="Times New Roman" w:hAnsi="Times New Roman" w:eastAsia="Times New Roman" w:ascii="Times New Roman"/>
                <w:b w:val="1"/>
                <w:sz w:val="22"/>
              </w:rPr>
              <w:t xml:space="preserve">Potential impact/risk of deadline being </w:t>
            </w:r>
          </w:p>
          <w:p>
            <w:pPr>
              <w:spacing w:before="0" w:after="0" w:line="259" w:lineRule="auto"/>
              <w:ind w:left="52" w:right="0" w:firstLine="0"/>
              <w:jc w:val="center"/>
            </w:pPr>
            <w:r>
              <w:rPr>
                <w:rFonts w:cs="Times New Roman" w:hAnsi="Times New Roman" w:eastAsia="Times New Roman" w:ascii="Times New Roman"/>
                <w:b w:val="1"/>
                <w:sz w:val="22"/>
              </w:rPr>
              <w:t xml:space="preserve">missed/major problem</w:t>
            </w:r>
            <w:r>
              <w:rPr>
                <w:rFonts w:cs="Times New Roman" w:hAnsi="Times New Roman" w:eastAsia="Times New Roman" w:ascii="Times New Roman"/>
                <w:b w:val="1"/>
              </w:rPr>
              <w:t xml:space="preserve"> </w:t>
            </w:r>
          </w:p>
        </w:tc>
        <w:tc>
          <w:tcPr>
            <w:tcW w:w="1702" w:type="dxa"/>
            <w:vMerge w:val="restart"/>
            <w:tcBorders>
              <w:top w:val="single" w:sz="8" w:color="000000"/>
              <w:left w:val="single" w:sz="8" w:color="000000"/>
              <w:bottom w:val="single" w:sz="8" w:color="000000"/>
              <w:right w:val="single" w:sz="8" w:color="000000"/>
            </w:tcBorders>
            <w:shd w:val="clear" w:fill="ffcc00"/>
            <w:vAlign w:val="center"/>
          </w:tcPr>
          <w:p>
            <w:pPr>
              <w:spacing w:before="0" w:after="0" w:line="259" w:lineRule="auto"/>
              <w:ind w:left="108" w:right="246" w:firstLine="0"/>
              <w:jc w:val="left"/>
            </w:pPr>
            <w:r>
              <w:rPr>
                <w:rFonts w:cs="Times New Roman" w:hAnsi="Times New Roman" w:eastAsia="Times New Roman" w:ascii="Times New Roman"/>
                <w:b w:val="1"/>
                <w:sz w:val="22"/>
              </w:rPr>
              <w:t xml:space="preserve">Risk</w:t>
            </w:r>
            <w:r>
              <w:rPr>
                <w:rFonts w:cs="Times New Roman" w:hAnsi="Times New Roman" w:eastAsia="Times New Roman" w:ascii="Times New Roman"/>
                <w:b w:val="1"/>
              </w:rPr>
              <w:t xml:space="preserve"> </w:t>
            </w:r>
            <w:r>
              <w:rPr>
                <w:rFonts w:cs="Times New Roman" w:hAnsi="Times New Roman" w:eastAsia="Times New Roman" w:ascii="Times New Roman"/>
                <w:b w:val="1"/>
                <w:sz w:val="22"/>
              </w:rPr>
              <w:t xml:space="preserve">(Impact/ likelihood)</w:t>
            </w:r>
            <w:r>
              <w:rPr>
                <w:rFonts w:cs="Times New Roman" w:hAnsi="Times New Roman" w:eastAsia="Times New Roman" w:ascii="Times New Roman"/>
                <w:b w:val="1"/>
              </w:rPr>
              <w:t xml:space="preserve"> </w:t>
            </w:r>
          </w:p>
        </w:tc>
        <w:tc>
          <w:tcPr>
            <w:tcW w:w="1702" w:type="dxa"/>
            <w:vMerge w:val="restart"/>
            <w:tcBorders>
              <w:top w:val="single" w:sz="8" w:color="000000"/>
              <w:left w:val="single" w:sz="8" w:color="000000"/>
              <w:bottom w:val="single" w:sz="8" w:color="000000"/>
              <w:right w:val="single" w:sz="8" w:color="000000"/>
            </w:tcBorders>
            <w:shd w:val="clear" w:fill="ffcc00"/>
            <w:vAlign w:val="center"/>
          </w:tcPr>
          <w:p>
            <w:pPr>
              <w:spacing w:before="0" w:after="0" w:line="259" w:lineRule="auto"/>
              <w:ind w:left="108" w:right="0" w:firstLine="0"/>
              <w:jc w:val="left"/>
            </w:pPr>
            <w:r>
              <w:rPr>
                <w:rFonts w:cs="Times New Roman" w:hAnsi="Times New Roman" w:eastAsia="Times New Roman" w:ascii="Times New Roman"/>
                <w:b w:val="1"/>
                <w:sz w:val="22"/>
              </w:rPr>
              <w:t xml:space="preserve">Risk Mitigation</w:t>
            </w:r>
            <w:r>
              <w:rPr>
                <w:rFonts w:cs="Times New Roman" w:hAnsi="Times New Roman" w:eastAsia="Times New Roman" w:ascii="Times New Roman"/>
                <w:b w:val="1"/>
                <w:sz w:val="24"/>
              </w:rPr>
              <w:t xml:space="preserve"> </w:t>
            </w:r>
          </w:p>
        </w:tc>
        <w:tc>
          <w:tcPr>
            <w:tcW w:w="1698" w:type="dxa"/>
            <w:vMerge w:val="restart"/>
            <w:tcBorders>
              <w:top w:val="single" w:sz="8" w:color="000000"/>
              <w:left w:val="single" w:sz="8" w:color="000000"/>
              <w:bottom w:val="single" w:sz="8" w:color="000000"/>
              <w:right w:val="single" w:sz="8" w:color="000000"/>
            </w:tcBorders>
            <w:shd w:val="clear" w:fill="ffcc00"/>
            <w:vAlign w:val="top"/>
          </w:tcPr>
          <w:p>
            <w:pPr>
              <w:spacing w:before="0" w:after="0" w:line="259" w:lineRule="auto"/>
              <w:ind w:left="108" w:right="0" w:firstLine="0"/>
              <w:jc w:val="left"/>
            </w:pPr>
            <w:r>
              <w:rPr>
                <w:rFonts w:cs="Times New Roman" w:hAnsi="Times New Roman" w:eastAsia="Times New Roman" w:ascii="Times New Roman"/>
                <w:b w:val="1"/>
                <w:sz w:val="22"/>
              </w:rPr>
              <w:t xml:space="preserve">Status: On </w:t>
            </w:r>
          </w:p>
          <w:p>
            <w:pPr>
              <w:spacing w:before="0" w:after="0" w:line="259" w:lineRule="auto"/>
              <w:ind w:left="108" w:right="0" w:firstLine="0"/>
              <w:jc w:val="left"/>
            </w:pPr>
            <w:r>
              <w:rPr>
                <w:rFonts w:cs="Times New Roman" w:hAnsi="Times New Roman" w:eastAsia="Times New Roman" w:ascii="Times New Roman"/>
                <w:b w:val="1"/>
                <w:sz w:val="22"/>
              </w:rPr>
              <w:t xml:space="preserve">Track or not?</w:t>
            </w:r>
            <w:r>
              <w:rPr>
                <w:rFonts w:cs="Times New Roman" w:hAnsi="Times New Roman" w:eastAsia="Times New Roman" w:ascii="Times New Roman"/>
                <w:b w:val="1"/>
              </w:rPr>
              <w:t xml:space="preserve"> </w:t>
            </w:r>
          </w:p>
        </w:tc>
      </w:tr>
      <w:tr>
        <w:trPr>
          <w:trHeight w:val="406" w:hRule="atLeast"/>
        </w:trPr>
        <w:tc>
          <w:tcPr>
            <w:gridSpan w:val="2"/>
            <w:vMerge w:val="continue"/>
            <w:tcBorders>
              <w:top w:val="nil"/>
              <w:left w:val="single" w:sz="8" w:color="000000"/>
              <w:bottom w:val="single" w:sz="8" w:color="000000"/>
              <w:right w:val="single" w:sz="8" w:color="000000"/>
            </w:tcBorders>
            <w:vAlign w:val="center"/>
          </w:tcPr>
          <w:p>
            <w:pPr>
              <w:bidi w:val="0"/>
              <w:spacing w:before="0" w:after="160" w:line="259" w:lineRule="auto"/>
              <w:ind w:left="0" w:right="0" w:firstLine="0"/>
              <w:jc w:val="left"/>
            </w:pPr>
          </w:p>
        </w:tc>
        <w:tc>
          <w:tcPr>
            <w:vMerge w:val="continue"/>
            <w:tcBorders>
              <w:top w:val="nil"/>
              <w:left w:val="single" w:sz="8" w:color="000000"/>
              <w:bottom w:val="single" w:sz="8" w:color="000000"/>
              <w:right w:val="single" w:sz="8" w:color="000000"/>
            </w:tcBorders>
            <w:vAlign w:val="center"/>
          </w:tcPr>
          <w:p>
            <w:pPr>
              <w:bidi w:val="0"/>
              <w:spacing w:before="0" w:after="160" w:line="259" w:lineRule="auto"/>
              <w:ind w:left="0" w:right="0" w:firstLine="0"/>
              <w:jc w:val="left"/>
            </w:pPr>
          </w:p>
        </w:tc>
        <w:tc>
          <w:tcPr>
            <w:vMerge w:val="continue"/>
            <w:tcBorders>
              <w:top w:val="nil"/>
              <w:left w:val="single" w:sz="8" w:color="000000"/>
              <w:bottom w:val="single" w:sz="8" w:color="000000"/>
              <w:right w:val="single" w:sz="8" w:color="000000"/>
            </w:tcBorders>
            <w:vAlign w:val="center"/>
          </w:tcPr>
          <w:p>
            <w:pPr>
              <w:bidi w:val="0"/>
              <w:spacing w:before="0" w:after="160" w:line="259" w:lineRule="auto"/>
              <w:ind w:left="0" w:right="0" w:firstLine="0"/>
              <w:jc w:val="left"/>
            </w:pPr>
          </w:p>
        </w:tc>
        <w:tc>
          <w:tcPr>
            <w:tcW w:w="1726" w:type="dxa"/>
            <w:gridSpan w:val="2"/>
            <w:tcBorders>
              <w:top w:val="single" w:sz="8" w:color="000000"/>
              <w:left w:val="single" w:sz="8" w:color="000000"/>
              <w:bottom w:val="single" w:sz="8" w:color="000000"/>
              <w:right w:val="single" w:sz="8" w:color="000000"/>
            </w:tcBorders>
            <w:shd w:val="clear" w:fill="ffcc00"/>
            <w:vAlign w:val="top"/>
          </w:tcPr>
          <w:p>
            <w:pPr>
              <w:spacing w:before="0" w:after="0" w:line="259" w:lineRule="auto"/>
              <w:ind w:left="108" w:right="0" w:firstLine="0"/>
              <w:jc w:val="left"/>
            </w:pPr>
            <w:r>
              <w:rPr>
                <w:rFonts w:cs="Times New Roman" w:hAnsi="Times New Roman" w:eastAsia="Times New Roman" w:ascii="Times New Roman"/>
                <w:b w:val="1"/>
                <w:sz w:val="22"/>
              </w:rPr>
              <w:t xml:space="preserve">What  </w:t>
            </w:r>
            <w:r>
              <w:rPr>
                <w:rFonts w:cs="Times New Roman" w:hAnsi="Times New Roman" w:eastAsia="Times New Roman" w:ascii="Times New Roman"/>
                <w:b w:val="1"/>
              </w:rPr>
              <w:t xml:space="preserve"> </w:t>
            </w:r>
          </w:p>
        </w:tc>
        <w:tc>
          <w:tcPr>
            <w:tcW w:w="967" w:type="dxa"/>
            <w:tcBorders>
              <w:top w:val="single" w:sz="8" w:color="000000"/>
              <w:left w:val="single" w:sz="8" w:color="000000"/>
              <w:bottom w:val="single" w:sz="8" w:color="000000"/>
              <w:right w:val="single" w:sz="8" w:color="000000"/>
            </w:tcBorders>
            <w:shd w:val="clear" w:fill="ffcc00"/>
            <w:vAlign w:val="top"/>
          </w:tcPr>
          <w:p>
            <w:pPr>
              <w:spacing w:before="0" w:after="0" w:line="259" w:lineRule="auto"/>
              <w:ind w:left="108" w:right="0" w:firstLine="0"/>
              <w:jc w:val="left"/>
            </w:pPr>
            <w:r>
              <w:rPr>
                <w:rFonts w:cs="Times New Roman" w:hAnsi="Times New Roman" w:eastAsia="Times New Roman" w:ascii="Times New Roman"/>
                <w:b w:val="1"/>
                <w:sz w:val="22"/>
              </w:rPr>
              <w:t xml:space="preserve">When</w:t>
            </w:r>
            <w:r>
              <w:rPr>
                <w:rFonts w:cs="Times New Roman" w:hAnsi="Times New Roman" w:eastAsia="Times New Roman" w:ascii="Times New Roman"/>
                <w:b w:val="1"/>
              </w:rPr>
              <w:t xml:space="preserve"> </w:t>
            </w:r>
          </w:p>
        </w:tc>
        <w:tc>
          <w:tcPr>
            <w:vMerge w:val="continue"/>
            <w:tcBorders>
              <w:top w:val="nil"/>
              <w:left w:val="single" w:sz="8" w:color="000000"/>
              <w:bottom w:val="single" w:sz="8" w:color="000000"/>
              <w:right w:val="single" w:sz="8" w:color="000000"/>
            </w:tcBorders>
            <w:vAlign w:val="bottom"/>
          </w:tcPr>
          <w:p>
            <w:pPr>
              <w:bidi w:val="0"/>
              <w:spacing w:before="0" w:after="160" w:line="259" w:lineRule="auto"/>
              <w:ind w:left="0" w:right="0" w:firstLine="0"/>
              <w:jc w:val="left"/>
            </w:pPr>
          </w:p>
        </w:tc>
        <w:tc>
          <w:tcPr>
            <w:vMerge w:val="continue"/>
            <w:tcBorders>
              <w:top w:val="nil"/>
              <w:left w:val="single" w:sz="8" w:color="000000"/>
              <w:bottom w:val="single" w:sz="8" w:color="000000"/>
              <w:right w:val="single" w:sz="8" w:color="000000"/>
            </w:tcBorders>
            <w:vAlign w:val="bottom"/>
          </w:tcPr>
          <w:p>
            <w:pPr>
              <w:bidi w:val="0"/>
              <w:spacing w:before="0" w:after="160" w:line="259" w:lineRule="auto"/>
              <w:ind w:left="0" w:right="0" w:firstLine="0"/>
              <w:jc w:val="left"/>
            </w:pPr>
          </w:p>
        </w:tc>
        <w:tc>
          <w:tcPr>
            <w:vMerge w:val="continue"/>
            <w:tcBorders>
              <w:top w:val="nil"/>
              <w:left w:val="single" w:sz="8" w:color="000000"/>
              <w:bottom w:val="single" w:sz="8" w:color="000000"/>
              <w:right w:val="single" w:sz="8" w:color="000000"/>
            </w:tcBorders>
            <w:vAlign w:val="bottom"/>
          </w:tcPr>
          <w:p>
            <w:pPr>
              <w:bidi w:val="0"/>
              <w:spacing w:before="0" w:after="160" w:line="259" w:lineRule="auto"/>
              <w:ind w:left="0" w:right="0" w:firstLine="0"/>
              <w:jc w:val="left"/>
            </w:pPr>
          </w:p>
        </w:tc>
        <w:tc>
          <w:tcPr>
            <w:vMerge w:val="continue"/>
            <w:tcBorders>
              <w:top w:val="nil"/>
              <w:left w:val="single" w:sz="8" w:color="000000"/>
              <w:bottom w:val="single" w:sz="8" w:color="000000"/>
              <w:right w:val="single" w:sz="8" w:color="000000"/>
            </w:tcBorders>
            <w:vAlign w:val="bottom"/>
          </w:tcPr>
          <w:p>
            <w:pPr>
              <w:bidi w:val="0"/>
              <w:spacing w:before="0" w:after="160" w:line="259" w:lineRule="auto"/>
              <w:ind w:left="0" w:right="0" w:firstLine="0"/>
              <w:jc w:val="left"/>
            </w:pPr>
          </w:p>
        </w:tc>
      </w:tr>
      <w:tr>
        <w:trPr>
          <w:trHeight w:val="230" w:hRule="atLeast"/>
        </w:trPr>
        <w:tc>
          <w:tcPr>
            <w:tcW w:w="3346" w:type="dxa"/>
            <w:gridSpan w:val="4"/>
            <w:tcBorders>
              <w:top w:val="single" w:sz="8" w:color="000000"/>
              <w:left w:val="single" w:sz="8" w:color="000000"/>
              <w:bottom w:val="single" w:sz="8" w:color="000000"/>
              <w:right w:val="nil"/>
            </w:tcBorders>
            <w:vAlign w:val="top"/>
          </w:tcPr>
          <w:p>
            <w:pPr>
              <w:tabs>
                <w:tab w:val="center" w:pos="1579"/>
              </w:tabs>
              <w:spacing w:before="0" w:after="0" w:line="259" w:lineRule="auto"/>
              <w:ind w:left="0" w:right="0" w:firstLine="0"/>
              <w:jc w:val="left"/>
            </w:pPr>
            <w:r>
              <w:rPr>
                <w:rFonts w:cs="Times New Roman" w:hAnsi="Times New Roman" w:eastAsia="Times New Roman" w:ascii="Times New Roman"/>
                <w:b w:val="1"/>
                <w:sz w:val="18"/>
              </w:rPr>
              <w:t xml:space="preserve">1.</w:t>
            </w:r>
            <w:r>
              <w:rPr>
                <w:rFonts w:cs="Arial" w:hAnsi="Arial" w:eastAsia="Arial" w:ascii="Arial"/>
                <w:b w:val="1"/>
                <w:sz w:val="28"/>
                <w:vertAlign w:val="superscript"/>
              </w:rPr>
              <w:t xml:space="preserve"> 	</w:t>
            </w:r>
            <w:r>
              <w:rPr>
                <w:rFonts w:cs="Times New Roman" w:hAnsi="Times New Roman" w:eastAsia="Times New Roman" w:ascii="Times New Roman"/>
                <w:b w:val="1"/>
                <w:sz w:val="18"/>
              </w:rPr>
              <w:t xml:space="preserve">ENVIRONMENTAL RISKS </w:t>
            </w:r>
          </w:p>
        </w:tc>
        <w:tc>
          <w:tcPr>
            <w:tcW w:w="2693" w:type="dxa"/>
            <w:gridSpan w:val="3"/>
            <w:tcBorders>
              <w:top w:val="single" w:sz="8" w:color="000000"/>
              <w:left w:val="nil"/>
              <w:bottom w:val="single" w:sz="8" w:color="000000"/>
              <w:right w:val="nil"/>
            </w:tcBorders>
            <w:vAlign w:val="center"/>
          </w:tcPr>
          <w:p>
            <w:pPr>
              <w:bidi w:val="0"/>
              <w:spacing w:before="0" w:after="160" w:line="259" w:lineRule="auto"/>
              <w:ind w:left="0" w:right="0" w:firstLine="0"/>
              <w:jc w:val="left"/>
            </w:pPr>
          </w:p>
        </w:tc>
        <w:tc>
          <w:tcPr>
            <w:tcW w:w="2551" w:type="dxa"/>
            <w:tcBorders>
              <w:top w:val="single" w:sz="8" w:color="000000"/>
              <w:left w:val="nil"/>
              <w:bottom w:val="single" w:sz="8" w:color="000000"/>
              <w:right w:val="nil"/>
            </w:tcBorders>
            <w:vAlign w:val="bottom"/>
          </w:tcPr>
          <w:p>
            <w:pPr>
              <w:bidi w:val="0"/>
              <w:spacing w:before="0" w:after="160" w:line="259" w:lineRule="auto"/>
              <w:ind w:left="0" w:right="0" w:firstLine="0"/>
              <w:jc w:val="left"/>
            </w:pPr>
          </w:p>
        </w:tc>
        <w:tc>
          <w:tcPr>
            <w:tcW w:w="1702" w:type="dxa"/>
            <w:tcBorders>
              <w:top w:val="single" w:sz="8" w:color="000000"/>
              <w:left w:val="nil"/>
              <w:bottom w:val="single" w:sz="8" w:color="000000"/>
              <w:right w:val="nil"/>
            </w:tcBorders>
            <w:vAlign w:val="center"/>
          </w:tcPr>
          <w:p>
            <w:pPr>
              <w:bidi w:val="0"/>
              <w:spacing w:before="0" w:after="160" w:line="259" w:lineRule="auto"/>
              <w:ind w:left="0" w:right="0" w:firstLine="0"/>
              <w:jc w:val="left"/>
            </w:pPr>
          </w:p>
        </w:tc>
        <w:tc>
          <w:tcPr>
            <w:tcW w:w="1702" w:type="dxa"/>
            <w:tcBorders>
              <w:top w:val="single" w:sz="8" w:color="000000"/>
              <w:left w:val="nil"/>
              <w:bottom w:val="single" w:sz="8" w:color="000000"/>
              <w:right w:val="nil"/>
            </w:tcBorders>
            <w:vAlign w:val="center"/>
          </w:tcPr>
          <w:p>
            <w:pPr>
              <w:bidi w:val="0"/>
              <w:spacing w:before="0" w:after="160" w:line="259" w:lineRule="auto"/>
              <w:ind w:left="0" w:right="0" w:firstLine="0"/>
              <w:jc w:val="left"/>
            </w:pPr>
          </w:p>
        </w:tc>
        <w:tc>
          <w:tcPr>
            <w:tcW w:w="1698" w:type="dxa"/>
            <w:tcBorders>
              <w:top w:val="single" w:sz="8" w:color="000000"/>
              <w:left w:val="nil"/>
              <w:bottom w:val="single" w:sz="8" w:color="000000"/>
              <w:right w:val="single" w:sz="8" w:color="000000"/>
            </w:tcBorders>
            <w:vAlign w:val="bottom"/>
          </w:tcPr>
          <w:p>
            <w:pPr>
              <w:bidi w:val="0"/>
              <w:spacing w:before="0" w:after="160" w:line="259" w:lineRule="auto"/>
              <w:ind w:left="0" w:right="0" w:firstLine="0"/>
              <w:jc w:val="left"/>
            </w:pPr>
          </w:p>
        </w:tc>
      </w:tr>
      <w:tr>
        <w:trPr>
          <w:trHeight w:val="2297" w:hRule="atLeast"/>
        </w:trPr>
        <w:tc>
          <w:tcPr>
            <w:tcW w:w="1202" w:type="dxa"/>
            <w:tcBorders>
              <w:top w:val="single" w:sz="8" w:color="000000"/>
              <w:left w:val="single" w:sz="8" w:color="000000"/>
              <w:bottom w:val="single" w:sz="8" w:color="000000"/>
              <w:right w:val="single" w:sz="8" w:color="000000"/>
            </w:tcBorders>
            <w:vAlign w:val="top"/>
          </w:tcPr>
          <w:p>
            <w:pPr>
              <w:spacing w:before="0" w:after="0" w:line="259" w:lineRule="auto"/>
              <w:ind w:left="106" w:right="0" w:firstLine="0"/>
              <w:jc w:val="left"/>
            </w:pPr>
            <w:r>
              <w:rPr>
                <w:rFonts w:cs="Times New Roman" w:hAnsi="Times New Roman" w:eastAsia="Times New Roman" w:ascii="Times New Roman"/>
                <w:sz w:val="18"/>
              </w:rPr>
              <w:t xml:space="preserve">Political Will </w:t>
            </w:r>
          </w:p>
        </w:tc>
        <w:tc>
          <w:tcPr>
            <w:tcW w:w="1009" w:type="dxa"/>
            <w:gridSpan w:val="2"/>
            <w:tcBorders>
              <w:top w:val="single" w:sz="8" w:color="000000"/>
              <w:left w:val="single" w:sz="8" w:color="000000"/>
              <w:bottom w:val="single" w:sz="8" w:color="000000"/>
              <w:right w:val="single" w:sz="8" w:color="000000"/>
            </w:tcBorders>
            <w:vAlign w:val="top"/>
          </w:tcPr>
          <w:p>
            <w:pPr>
              <w:spacing w:before="0" w:after="0" w:line="259" w:lineRule="auto"/>
              <w:ind w:left="106" w:right="0" w:firstLine="0"/>
              <w:jc w:val="left"/>
            </w:pPr>
            <w:r>
              <w:rPr>
                <w:rFonts w:cs="Times New Roman" w:hAnsi="Times New Roman" w:eastAsia="Times New Roman" w:ascii="Times New Roman"/>
                <w:sz w:val="18"/>
              </w:rPr>
              <w:t xml:space="preserve">March to </w:t>
            </w:r>
          </w:p>
          <w:p>
            <w:pPr>
              <w:spacing w:before="0" w:after="0" w:line="259" w:lineRule="auto"/>
              <w:ind w:left="106" w:right="0" w:firstLine="0"/>
              <w:jc w:val="left"/>
            </w:pPr>
            <w:r>
              <w:rPr>
                <w:rFonts w:cs="Times New Roman" w:hAnsi="Times New Roman" w:eastAsia="Times New Roman" w:ascii="Times New Roman"/>
                <w:sz w:val="18"/>
              </w:rPr>
              <w:t xml:space="preserve">December </w:t>
            </w:r>
          </w:p>
          <w:p>
            <w:pPr>
              <w:spacing w:before="0" w:after="0" w:line="259" w:lineRule="auto"/>
              <w:ind w:left="106" w:right="0" w:firstLine="0"/>
              <w:jc w:val="left"/>
            </w:pPr>
            <w:r>
              <w:rPr>
                <w:rFonts w:cs="Times New Roman" w:hAnsi="Times New Roman" w:eastAsia="Times New Roman" w:ascii="Times New Roman"/>
                <w:sz w:val="18"/>
              </w:rPr>
              <w:t xml:space="preserve">2011 </w:t>
            </w:r>
          </w:p>
        </w:tc>
        <w:tc>
          <w:tcPr>
            <w:tcW w:w="1134" w:type="dxa"/>
            <w:tcBorders>
              <w:top w:val="single" w:sz="8" w:color="000000"/>
              <w:left w:val="single" w:sz="8" w:color="000000"/>
              <w:bottom w:val="single" w:sz="8" w:color="000000"/>
              <w:right w:val="single" w:sz="8" w:color="000000"/>
            </w:tcBorders>
            <w:vAlign w:val="top"/>
          </w:tcPr>
          <w:p>
            <w:pPr>
              <w:spacing w:before="0" w:after="0" w:line="259" w:lineRule="auto"/>
              <w:ind w:left="107" w:right="0" w:firstLine="0"/>
              <w:jc w:val="left"/>
            </w:pPr>
            <w:r>
              <w:rPr>
                <w:rFonts w:cs="Times New Roman" w:hAnsi="Times New Roman" w:eastAsia="Times New Roman" w:ascii="Times New Roman"/>
                <w:sz w:val="18"/>
              </w:rPr>
              <w:t xml:space="preserve">MoJ </w:t>
            </w:r>
          </w:p>
        </w:tc>
        <w:tc>
          <w:tcPr>
            <w:tcW w:w="468" w:type="dxa"/>
            <w:tcBorders>
              <w:top w:val="single" w:sz="8" w:color="000000"/>
              <w:left w:val="single" w:sz="8" w:color="000000"/>
              <w:bottom w:val="single" w:sz="8" w:color="000000"/>
              <w:right w:val="nil"/>
            </w:tcBorders>
            <w:vAlign w:val="top"/>
          </w:tcPr>
          <w:p>
            <w:pPr>
              <w:spacing w:before="0" w:after="1276" w:line="259" w:lineRule="auto"/>
              <w:ind w:left="108" w:right="0" w:firstLine="0"/>
              <w:jc w:val="left"/>
            </w:pPr>
            <w:r>
              <w:rPr>
                <w:rFonts w:cs="Times New Roman" w:hAnsi="Times New Roman" w:eastAsia="Times New Roman" w:ascii="Times New Roman"/>
                <w:sz w:val="18"/>
              </w:rPr>
              <w:t xml:space="preserve">1.</w:t>
            </w:r>
            <w:r>
              <w:rPr>
                <w:rFonts w:cs="Arial" w:hAnsi="Arial" w:eastAsia="Arial" w:ascii="Arial"/>
                <w:sz w:val="18"/>
              </w:rPr>
              <w:t xml:space="preserve"> </w:t>
            </w:r>
          </w:p>
          <w:p>
            <w:pPr>
              <w:spacing w:before="0" w:after="407" w:line="259" w:lineRule="auto"/>
              <w:ind w:left="108" w:right="0" w:firstLine="0"/>
              <w:jc w:val="left"/>
            </w:pPr>
            <w:r>
              <w:rPr>
                <w:rFonts w:cs="Times New Roman" w:hAnsi="Times New Roman" w:eastAsia="Times New Roman" w:ascii="Times New Roman"/>
                <w:sz w:val="18"/>
              </w:rPr>
              <w:t xml:space="preserve">2.</w:t>
            </w:r>
            <w:r>
              <w:rPr>
                <w:rFonts w:cs="Arial" w:hAnsi="Arial" w:eastAsia="Arial" w:ascii="Arial"/>
                <w:sz w:val="18"/>
              </w:rPr>
              <w:t xml:space="preserve"> </w:t>
            </w:r>
          </w:p>
          <w:p>
            <w:pPr>
              <w:spacing w:before="0" w:after="0" w:line="259" w:lineRule="auto"/>
              <w:ind w:left="108" w:right="0" w:firstLine="0"/>
              <w:jc w:val="left"/>
            </w:pPr>
            <w:r>
              <w:rPr>
                <w:rFonts w:cs="Times New Roman" w:hAnsi="Times New Roman" w:eastAsia="Times New Roman" w:ascii="Times New Roman"/>
                <w:sz w:val="18"/>
              </w:rPr>
              <w:t xml:space="preserve"> </w:t>
            </w:r>
          </w:p>
        </w:tc>
        <w:tc>
          <w:tcPr>
            <w:tcW w:w="1258" w:type="dxa"/>
            <w:tcBorders>
              <w:top w:val="single" w:sz="8" w:color="000000"/>
              <w:left w:val="nil"/>
              <w:bottom w:val="single" w:sz="8" w:color="000000"/>
              <w:right w:val="single" w:sz="8" w:color="000000"/>
            </w:tcBorders>
            <w:vAlign w:val="top"/>
          </w:tcPr>
          <w:p>
            <w:pPr>
              <w:spacing w:before="0" w:after="0" w:line="239" w:lineRule="auto"/>
              <w:ind w:left="0" w:right="0" w:firstLine="0"/>
              <w:jc w:val="left"/>
            </w:pPr>
            <w:r>
              <w:rPr>
                <w:rFonts w:cs="Times New Roman" w:hAnsi="Times New Roman" w:eastAsia="Times New Roman" w:ascii="Times New Roman"/>
                <w:sz w:val="18"/>
              </w:rPr>
              <w:t xml:space="preserve">MoJ to expeditiously implement the project as a priority for development. </w:t>
            </w:r>
          </w:p>
          <w:p>
            <w:pPr>
              <w:spacing w:before="0" w:after="0" w:line="259" w:lineRule="auto"/>
              <w:ind w:left="0" w:right="0" w:firstLine="0"/>
              <w:jc w:val="left"/>
            </w:pPr>
            <w:r>
              <w:rPr>
                <w:rFonts w:cs="Times New Roman" w:hAnsi="Times New Roman" w:eastAsia="Times New Roman" w:ascii="Times New Roman"/>
                <w:sz w:val="18"/>
              </w:rPr>
              <w:t xml:space="preserve"> </w:t>
            </w:r>
          </w:p>
          <w:p>
            <w:pPr>
              <w:spacing w:before="0" w:after="0" w:line="259" w:lineRule="auto"/>
              <w:ind w:left="0" w:right="0" w:firstLine="0"/>
              <w:jc w:val="left"/>
            </w:pPr>
            <w:r>
              <w:rPr>
                <w:rFonts w:cs="Times New Roman" w:hAnsi="Times New Roman" w:eastAsia="Times New Roman" w:ascii="Times New Roman"/>
                <w:sz w:val="18"/>
              </w:rPr>
              <w:t xml:space="preserve">LPAC includes all relevant stakeholders </w:t>
            </w:r>
          </w:p>
        </w:tc>
        <w:tc>
          <w:tcPr>
            <w:tcW w:w="967" w:type="dxa"/>
            <w:tcBorders>
              <w:top w:val="single" w:sz="8" w:color="000000"/>
              <w:left w:val="single" w:sz="8" w:color="000000"/>
              <w:bottom w:val="single" w:sz="8" w:color="000000"/>
              <w:right w:val="single" w:sz="8" w:color="000000"/>
            </w:tcBorders>
            <w:vAlign w:val="top"/>
          </w:tcPr>
          <w:p>
            <w:pPr>
              <w:spacing w:before="0" w:after="0" w:line="240" w:lineRule="auto"/>
              <w:ind w:left="108" w:right="0" w:firstLine="0"/>
              <w:jc w:val="left"/>
            </w:pPr>
            <w:r>
              <w:rPr>
                <w:rFonts w:cs="Times New Roman" w:hAnsi="Times New Roman" w:eastAsia="Times New Roman" w:ascii="Times New Roman"/>
                <w:sz w:val="18"/>
              </w:rPr>
              <w:t xml:space="preserve"> Whole project </w:t>
            </w:r>
          </w:p>
          <w:p>
            <w:pPr>
              <w:spacing w:before="0" w:after="0" w:line="259" w:lineRule="auto"/>
              <w:ind w:left="108" w:right="0" w:firstLine="0"/>
              <w:jc w:val="left"/>
            </w:pPr>
            <w:r>
              <w:rPr>
                <w:rFonts w:cs="Times New Roman" w:hAnsi="Times New Roman" w:eastAsia="Times New Roman" w:ascii="Times New Roman"/>
                <w:sz w:val="18"/>
              </w:rPr>
              <w:t xml:space="preserve">period </w:t>
            </w:r>
          </w:p>
          <w:p>
            <w:pPr>
              <w:spacing w:before="0" w:after="0" w:line="259" w:lineRule="auto"/>
              <w:ind w:left="108" w:right="0" w:firstLine="0"/>
              <w:jc w:val="left"/>
            </w:pPr>
            <w:r>
              <w:rPr>
                <w:rFonts w:cs="Times New Roman" w:hAnsi="Times New Roman" w:eastAsia="Times New Roman" w:ascii="Times New Roman"/>
                <w:sz w:val="18"/>
              </w:rPr>
              <w:t xml:space="preserve"> </w:t>
            </w:r>
          </w:p>
          <w:p>
            <w:pPr>
              <w:spacing w:before="0" w:after="0" w:line="259" w:lineRule="auto"/>
              <w:ind w:left="108" w:right="0" w:firstLine="0"/>
              <w:jc w:val="left"/>
            </w:pPr>
            <w:r>
              <w:rPr>
                <w:rFonts w:cs="Times New Roman" w:hAnsi="Times New Roman" w:eastAsia="Times New Roman" w:ascii="Times New Roman"/>
                <w:sz w:val="18"/>
              </w:rPr>
              <w:t xml:space="preserve"> </w:t>
            </w:r>
          </w:p>
          <w:p>
            <w:pPr>
              <w:spacing w:before="0" w:after="0" w:line="259" w:lineRule="auto"/>
              <w:ind w:left="108" w:right="0" w:firstLine="0"/>
              <w:jc w:val="left"/>
            </w:pPr>
            <w:r>
              <w:rPr>
                <w:rFonts w:cs="Times New Roman" w:hAnsi="Times New Roman" w:eastAsia="Times New Roman" w:ascii="Times New Roman"/>
                <w:sz w:val="18"/>
              </w:rPr>
              <w:t xml:space="preserve"> </w:t>
            </w:r>
          </w:p>
          <w:p>
            <w:pPr>
              <w:spacing w:before="0" w:after="0" w:line="259" w:lineRule="auto"/>
              <w:ind w:left="108" w:right="0" w:firstLine="0"/>
              <w:jc w:val="left"/>
            </w:pPr>
            <w:r>
              <w:rPr>
                <w:rFonts w:cs="Times New Roman" w:hAnsi="Times New Roman" w:eastAsia="Times New Roman" w:ascii="Times New Roman"/>
                <w:sz w:val="18"/>
              </w:rPr>
              <w:t xml:space="preserve"> </w:t>
            </w:r>
          </w:p>
          <w:p>
            <w:pPr>
              <w:spacing w:before="0" w:after="0" w:line="259" w:lineRule="auto"/>
              <w:ind w:left="108" w:right="0" w:firstLine="0"/>
              <w:jc w:val="left"/>
            </w:pPr>
            <w:r>
              <w:rPr>
                <w:rFonts w:cs="Times New Roman" w:hAnsi="Times New Roman" w:eastAsia="Times New Roman" w:ascii="Times New Roman"/>
                <w:sz w:val="18"/>
              </w:rPr>
              <w:t xml:space="preserve">February, </w:t>
            </w:r>
          </w:p>
          <w:p>
            <w:pPr>
              <w:spacing w:before="0" w:after="0" w:line="259" w:lineRule="auto"/>
              <w:ind w:left="108" w:right="0" w:firstLine="0"/>
              <w:jc w:val="left"/>
            </w:pPr>
            <w:r>
              <w:rPr>
                <w:rFonts w:cs="Times New Roman" w:hAnsi="Times New Roman" w:eastAsia="Times New Roman" w:ascii="Times New Roman"/>
                <w:sz w:val="18"/>
              </w:rPr>
              <w:t xml:space="preserve">2011 </w:t>
            </w:r>
          </w:p>
        </w:tc>
        <w:tc>
          <w:tcPr>
            <w:tcW w:w="2551" w:type="dxa"/>
            <w:tcBorders>
              <w:top w:val="single" w:sz="8" w:color="000000"/>
              <w:left w:val="single" w:sz="8" w:color="000000"/>
              <w:bottom w:val="single" w:sz="8" w:color="000000"/>
              <w:right w:val="single" w:sz="8" w:color="000000"/>
            </w:tcBorders>
            <w:vAlign w:val="top"/>
          </w:tcPr>
          <w:p>
            <w:pPr>
              <w:spacing w:before="0" w:after="51" w:line="259" w:lineRule="auto"/>
              <w:ind w:left="828" w:right="0" w:firstLine="0"/>
              <w:jc w:val="left"/>
            </w:pPr>
            <w:r>
              <w:rPr>
                <w:rFonts w:cs="Times New Roman" w:hAnsi="Times New Roman" w:eastAsia="Times New Roman" w:ascii="Times New Roman"/>
                <w:sz w:val="18"/>
              </w:rPr>
              <w:t xml:space="preserve"> </w:t>
            </w:r>
          </w:p>
          <w:p>
            <w:pPr>
              <w:spacing w:before="0" w:after="0" w:line="242" w:lineRule="auto"/>
              <w:ind w:left="468" w:right="0" w:hanging="360"/>
              <w:jc w:val="left"/>
            </w:pPr>
            <w:r>
              <w:rPr>
                <w:rFonts w:cs="Segoe UI Symbol" w:hAnsi="Segoe UI Symbol" w:eastAsia="Segoe UI Symbol" w:ascii="Segoe UI Symbol"/>
                <w:sz w:val="28"/>
                <w:vertAlign w:val="superscript"/>
              </w:rPr>
              <w:t xml:space="preserve">•</w:t>
            </w:r>
            <w:r>
              <w:rPr>
                <w:rFonts w:cs="Arial" w:hAnsi="Arial" w:eastAsia="Arial" w:ascii="Arial"/>
                <w:sz w:val="18"/>
              </w:rPr>
              <w:t xml:space="preserve"> 	</w:t>
            </w:r>
            <w:r>
              <w:rPr>
                <w:rFonts w:cs="Times New Roman" w:hAnsi="Times New Roman" w:eastAsia="Times New Roman" w:ascii="Times New Roman"/>
                <w:sz w:val="18"/>
              </w:rPr>
              <w:t xml:space="preserve">Delay in the implementation of gender mainstreaming activities as outlined in the project </w:t>
            </w:r>
          </w:p>
          <w:p>
            <w:pPr>
              <w:spacing w:before="0" w:after="0" w:line="238" w:lineRule="auto"/>
              <w:ind w:left="468" w:right="0" w:firstLine="0"/>
              <w:jc w:val="left"/>
            </w:pPr>
            <w:r>
              <w:rPr>
                <w:rFonts w:cs="Times New Roman" w:hAnsi="Times New Roman" w:eastAsia="Times New Roman" w:ascii="Times New Roman"/>
                <w:sz w:val="18"/>
              </w:rPr>
              <w:t xml:space="preserve">(causing the implementation having </w:t>
            </w:r>
          </w:p>
          <w:p>
            <w:pPr>
              <w:spacing w:before="0" w:after="0" w:line="259" w:lineRule="auto"/>
              <w:ind w:left="23" w:right="0" w:firstLine="0"/>
              <w:jc w:val="center"/>
            </w:pPr>
            <w:r>
              <w:rPr>
                <w:rFonts w:cs="Times New Roman" w:hAnsi="Times New Roman" w:eastAsia="Times New Roman" w:ascii="Times New Roman"/>
                <w:sz w:val="18"/>
              </w:rPr>
              <w:t xml:space="preserve">been started later than </w:t>
            </w:r>
          </w:p>
          <w:p>
            <w:pPr>
              <w:spacing w:before="0" w:after="0" w:line="259" w:lineRule="auto"/>
              <w:ind w:left="468" w:right="0" w:firstLine="0"/>
              <w:jc w:val="left"/>
            </w:pPr>
            <w:r>
              <w:rPr>
                <w:rFonts w:cs="Times New Roman" w:hAnsi="Times New Roman" w:eastAsia="Times New Roman" w:ascii="Times New Roman"/>
                <w:sz w:val="18"/>
              </w:rPr>
              <w:t xml:space="preserve">March,2011) </w:t>
            </w:r>
          </w:p>
        </w:tc>
        <w:tc>
          <w:tcPr>
            <w:tcW w:w="1702" w:type="dxa"/>
            <w:tcBorders>
              <w:top w:val="single" w:sz="8" w:color="000000"/>
              <w:left w:val="single" w:sz="8" w:color="000000"/>
              <w:bottom w:val="single" w:sz="8" w:color="000000"/>
              <w:right w:val="single" w:sz="8" w:color="000000"/>
            </w:tcBorders>
            <w:vAlign w:val="top"/>
          </w:tcPr>
          <w:p>
            <w:pPr>
              <w:spacing w:before="0" w:after="0" w:line="259" w:lineRule="auto"/>
              <w:ind w:left="108" w:right="0" w:firstLine="0"/>
              <w:jc w:val="left"/>
            </w:pPr>
            <w:r>
              <w:rPr>
                <w:rFonts w:cs="Times New Roman" w:hAnsi="Times New Roman" w:eastAsia="Times New Roman" w:ascii="Times New Roman"/>
                <w:sz w:val="18"/>
              </w:rPr>
              <w:t xml:space="preserve">Medium </w:t>
            </w:r>
          </w:p>
        </w:tc>
        <w:tc>
          <w:tcPr>
            <w:tcW w:w="1702" w:type="dxa"/>
            <w:tcBorders>
              <w:top w:val="single" w:sz="8" w:color="000000"/>
              <w:left w:val="single" w:sz="8" w:color="000000"/>
              <w:bottom w:val="single" w:sz="8" w:color="000000"/>
              <w:right w:val="single" w:sz="8" w:color="000000"/>
            </w:tcBorders>
            <w:vAlign w:val="top"/>
          </w:tcPr>
          <w:p>
            <w:pPr>
              <w:tabs>
                <w:tab w:val="center" w:pos="743"/>
              </w:tabs>
              <w:spacing w:before="0" w:after="0" w:line="259" w:lineRule="auto"/>
              <w:ind w:left="0" w:right="0" w:firstLine="0"/>
              <w:jc w:val="left"/>
            </w:pPr>
            <w:r>
              <w:rPr>
                <w:rFonts w:cs="Segoe UI Symbol" w:hAnsi="Segoe UI Symbol" w:eastAsia="Segoe UI Symbol" w:ascii="Segoe UI Symbol"/>
                <w:sz w:val="28"/>
                <w:vertAlign w:val="superscript"/>
              </w:rPr>
              <w:t xml:space="preserve">•</w:t>
            </w:r>
            <w:r>
              <w:rPr>
                <w:rFonts w:cs="Arial" w:hAnsi="Arial" w:eastAsia="Arial" w:ascii="Arial"/>
                <w:sz w:val="28"/>
                <w:vertAlign w:val="superscript"/>
              </w:rPr>
              <w:t xml:space="preserve"> 	</w:t>
            </w:r>
            <w:r>
              <w:rPr>
                <w:rFonts w:cs="Times New Roman" w:hAnsi="Times New Roman" w:eastAsia="Times New Roman" w:ascii="Times New Roman"/>
                <w:sz w:val="18"/>
              </w:rPr>
              <w:t xml:space="preserve">Involve </w:t>
            </w:r>
          </w:p>
          <w:p>
            <w:pPr>
              <w:spacing w:before="0" w:after="0" w:line="259" w:lineRule="auto"/>
              <w:ind w:left="468" w:right="365" w:firstLine="0"/>
            </w:pPr>
            <w:r>
              <w:rPr>
                <w:rFonts w:cs="Times New Roman" w:hAnsi="Times New Roman" w:eastAsia="Times New Roman" w:ascii="Times New Roman"/>
                <w:sz w:val="18"/>
              </w:rPr>
              <w:t xml:space="preserve">Ministry of Gender as early as possible </w:t>
            </w:r>
          </w:p>
        </w:tc>
        <w:tc>
          <w:tcPr>
            <w:tcW w:w="1698" w:type="dxa"/>
            <w:tcBorders>
              <w:top w:val="single" w:sz="8" w:color="000000"/>
              <w:left w:val="single" w:sz="8" w:color="000000"/>
              <w:bottom w:val="single" w:sz="8" w:color="000000"/>
              <w:right w:val="single" w:sz="8" w:color="000000"/>
            </w:tcBorders>
            <w:vAlign w:val="top"/>
          </w:tcPr>
          <w:p>
            <w:pPr>
              <w:spacing w:before="0" w:after="0" w:line="259" w:lineRule="auto"/>
              <w:ind w:left="108" w:right="0" w:firstLine="0"/>
              <w:jc w:val="left"/>
            </w:pPr>
            <w:r>
              <w:rPr>
                <w:rFonts w:cs="Times New Roman" w:hAnsi="Times New Roman" w:eastAsia="Times New Roman" w:ascii="Times New Roman"/>
                <w:sz w:val="18"/>
              </w:rPr>
              <w:t xml:space="preserve"> </w:t>
            </w:r>
          </w:p>
        </w:tc>
      </w:tr>
      <w:tr>
        <w:trPr>
          <w:trHeight w:val="3799" w:hRule="atLeast"/>
        </w:trPr>
        <w:tc>
          <w:tcPr>
            <w:tcW w:w="1202" w:type="dxa"/>
            <w:tcBorders>
              <w:top w:val="single" w:sz="8" w:color="000000"/>
              <w:left w:val="single" w:sz="8" w:color="000000"/>
              <w:bottom w:val="single" w:sz="8" w:color="000000"/>
              <w:right w:val="single" w:sz="8" w:color="000000"/>
            </w:tcBorders>
            <w:vAlign w:val="top"/>
          </w:tcPr>
          <w:p>
            <w:pPr>
              <w:spacing w:before="0" w:after="0" w:line="259" w:lineRule="auto"/>
              <w:ind w:left="106" w:right="0" w:firstLine="0"/>
              <w:jc w:val="left"/>
            </w:pPr>
            <w:r>
              <w:rPr>
                <w:rFonts w:cs="Times New Roman" w:hAnsi="Times New Roman" w:eastAsia="Times New Roman" w:ascii="Times New Roman"/>
                <w:sz w:val="18"/>
              </w:rPr>
              <w:t xml:space="preserve">Capacity </w:t>
            </w:r>
          </w:p>
        </w:tc>
        <w:tc>
          <w:tcPr>
            <w:tcW w:w="1009" w:type="dxa"/>
            <w:gridSpan w:val="2"/>
            <w:tcBorders>
              <w:top w:val="single" w:sz="8" w:color="000000"/>
              <w:left w:val="single" w:sz="8" w:color="000000"/>
              <w:bottom w:val="single" w:sz="8" w:color="000000"/>
              <w:right w:val="single" w:sz="8" w:color="000000"/>
            </w:tcBorders>
            <w:vAlign w:val="top"/>
          </w:tcPr>
          <w:p>
            <w:pPr>
              <w:spacing w:before="0" w:after="0" w:line="259" w:lineRule="auto"/>
              <w:ind w:left="106" w:right="0" w:firstLine="0"/>
              <w:jc w:val="left"/>
            </w:pPr>
            <w:r>
              <w:rPr>
                <w:rFonts w:cs="Times New Roman" w:hAnsi="Times New Roman" w:eastAsia="Times New Roman" w:ascii="Times New Roman"/>
                <w:sz w:val="18"/>
              </w:rPr>
              <w:t xml:space="preserve"> </w:t>
            </w:r>
          </w:p>
        </w:tc>
        <w:tc>
          <w:tcPr>
            <w:tcW w:w="1134" w:type="dxa"/>
            <w:tcBorders>
              <w:top w:val="single" w:sz="8" w:color="000000"/>
              <w:left w:val="single" w:sz="8" w:color="000000"/>
              <w:bottom w:val="single" w:sz="8" w:color="000000"/>
              <w:right w:val="single" w:sz="8" w:color="000000"/>
            </w:tcBorders>
            <w:vAlign w:val="top"/>
          </w:tcPr>
          <w:p>
            <w:pPr>
              <w:spacing w:before="0" w:after="0" w:line="259" w:lineRule="auto"/>
              <w:ind w:left="107" w:right="0" w:firstLine="0"/>
              <w:jc w:val="left"/>
            </w:pPr>
            <w:r>
              <w:rPr>
                <w:rFonts w:cs="Times New Roman" w:hAnsi="Times New Roman" w:eastAsia="Times New Roman" w:ascii="Times New Roman"/>
                <w:sz w:val="18"/>
              </w:rPr>
              <w:t xml:space="preserve">MoJ </w:t>
            </w:r>
          </w:p>
        </w:tc>
        <w:tc>
          <w:tcPr>
            <w:tcW w:w="468" w:type="dxa"/>
            <w:tcBorders>
              <w:top w:val="single" w:sz="8" w:color="000000"/>
              <w:left w:val="single" w:sz="8" w:color="000000"/>
              <w:bottom w:val="single" w:sz="8" w:color="000000"/>
              <w:right w:val="nil"/>
            </w:tcBorders>
            <w:vAlign w:val="top"/>
          </w:tcPr>
          <w:p>
            <w:pPr>
              <w:spacing w:before="0" w:after="0" w:line="1965" w:lineRule="auto"/>
              <w:ind w:left="108" w:right="0" w:firstLine="0"/>
              <w:jc w:val="left"/>
            </w:pPr>
            <w:r>
              <w:rPr>
                <w:rFonts w:cs="Times New Roman" w:hAnsi="Times New Roman" w:eastAsia="Times New Roman" w:ascii="Times New Roman"/>
                <w:sz w:val="18"/>
              </w:rPr>
              <w:t xml:space="preserve">1.</w:t>
            </w:r>
            <w:r>
              <w:rPr>
                <w:rFonts w:cs="Arial" w:hAnsi="Arial" w:eastAsia="Arial" w:ascii="Arial"/>
                <w:sz w:val="18"/>
              </w:rPr>
              <w:t xml:space="preserve"> </w:t>
            </w:r>
            <w:r>
              <w:rPr>
                <w:rFonts w:cs="Times New Roman" w:hAnsi="Times New Roman" w:eastAsia="Times New Roman" w:ascii="Times New Roman"/>
                <w:sz w:val="18"/>
              </w:rPr>
              <w:t xml:space="preserve">2.</w:t>
            </w:r>
            <w:r>
              <w:rPr>
                <w:rFonts w:cs="Arial" w:hAnsi="Arial" w:eastAsia="Arial" w:ascii="Arial"/>
                <w:sz w:val="18"/>
              </w:rPr>
              <w:t xml:space="preserve"> </w:t>
            </w:r>
          </w:p>
          <w:p>
            <w:pPr>
              <w:spacing w:before="0" w:after="0" w:line="259" w:lineRule="auto"/>
              <w:ind w:left="108" w:right="0" w:firstLine="0"/>
              <w:jc w:val="left"/>
            </w:pPr>
            <w:r>
              <w:rPr>
                <w:rFonts w:cs="Times New Roman" w:hAnsi="Times New Roman" w:eastAsia="Times New Roman" w:ascii="Times New Roman"/>
                <w:sz w:val="18"/>
              </w:rPr>
              <w:t xml:space="preserve">3.</w:t>
            </w:r>
            <w:r>
              <w:rPr>
                <w:rFonts w:cs="Arial" w:hAnsi="Arial" w:eastAsia="Arial" w:ascii="Arial"/>
                <w:sz w:val="18"/>
              </w:rPr>
              <w:t xml:space="preserve"> </w:t>
            </w:r>
          </w:p>
        </w:tc>
        <w:tc>
          <w:tcPr>
            <w:tcW w:w="1258" w:type="dxa"/>
            <w:tcBorders>
              <w:top w:val="single" w:sz="8" w:color="000000"/>
              <w:left w:val="nil"/>
              <w:bottom w:val="single" w:sz="8" w:color="000000"/>
              <w:right w:val="single" w:sz="8" w:color="000000"/>
            </w:tcBorders>
            <w:vAlign w:val="top"/>
          </w:tcPr>
          <w:p>
            <w:pPr>
              <w:spacing w:before="0" w:after="0" w:line="239" w:lineRule="auto"/>
              <w:ind w:left="0" w:right="0" w:firstLine="0"/>
              <w:jc w:val="left"/>
            </w:pPr>
            <w:r>
              <w:rPr>
                <w:rFonts w:cs="Times New Roman" w:hAnsi="Times New Roman" w:eastAsia="Times New Roman" w:ascii="Times New Roman"/>
                <w:sz w:val="18"/>
              </w:rPr>
              <w:t xml:space="preserve">MoJ to endorse the gender project document and AWP in due time  </w:t>
            </w:r>
          </w:p>
          <w:p>
            <w:pPr>
              <w:spacing w:before="0" w:after="0" w:line="259" w:lineRule="auto"/>
              <w:ind w:left="360" w:right="0" w:firstLine="0"/>
              <w:jc w:val="left"/>
            </w:pPr>
            <w:r>
              <w:rPr>
                <w:rFonts w:cs="Times New Roman" w:hAnsi="Times New Roman" w:eastAsia="Times New Roman" w:ascii="Times New Roman"/>
                <w:sz w:val="18"/>
              </w:rPr>
              <w:t xml:space="preserve"> </w:t>
            </w:r>
          </w:p>
          <w:p>
            <w:pPr>
              <w:spacing w:before="0" w:after="0" w:line="259" w:lineRule="auto"/>
              <w:ind w:left="360" w:right="0" w:firstLine="0"/>
              <w:jc w:val="left"/>
            </w:pPr>
            <w:r>
              <w:rPr>
                <w:rFonts w:cs="Times New Roman" w:hAnsi="Times New Roman" w:eastAsia="Times New Roman" w:ascii="Times New Roman"/>
                <w:sz w:val="18"/>
              </w:rPr>
              <w:t xml:space="preserve"> </w:t>
            </w:r>
          </w:p>
          <w:p>
            <w:pPr>
              <w:spacing w:before="0" w:after="0" w:line="238" w:lineRule="auto"/>
              <w:ind w:left="0" w:right="239" w:firstLine="0"/>
            </w:pPr>
            <w:r>
              <w:rPr>
                <w:rFonts w:cs="Times New Roman" w:hAnsi="Times New Roman" w:eastAsia="Times New Roman" w:ascii="Times New Roman"/>
                <w:sz w:val="18"/>
              </w:rPr>
              <w:t xml:space="preserve">MoJ to have the necessary capacity to implement </w:t>
            </w:r>
          </w:p>
          <w:p>
            <w:pPr>
              <w:spacing w:before="0" w:after="0" w:line="240" w:lineRule="auto"/>
              <w:ind w:left="0" w:right="0" w:firstLine="0"/>
              <w:jc w:val="left"/>
            </w:pPr>
            <w:r>
              <w:rPr>
                <w:rFonts w:cs="Times New Roman" w:hAnsi="Times New Roman" w:eastAsia="Times New Roman" w:ascii="Times New Roman"/>
                <w:sz w:val="18"/>
              </w:rPr>
              <w:t xml:space="preserve">activities in the project  </w:t>
            </w:r>
          </w:p>
          <w:p>
            <w:pPr>
              <w:spacing w:before="0" w:after="0" w:line="259" w:lineRule="auto"/>
              <w:ind w:left="360" w:right="0" w:firstLine="0"/>
              <w:jc w:val="left"/>
            </w:pPr>
            <w:r>
              <w:rPr>
                <w:rFonts w:cs="Times New Roman" w:hAnsi="Times New Roman" w:eastAsia="Times New Roman" w:ascii="Times New Roman"/>
                <w:sz w:val="18"/>
              </w:rPr>
              <w:t xml:space="preserve"> </w:t>
            </w:r>
          </w:p>
          <w:p>
            <w:pPr>
              <w:spacing w:before="0" w:after="0" w:line="259" w:lineRule="auto"/>
              <w:ind w:left="360" w:right="0" w:firstLine="0"/>
              <w:jc w:val="left"/>
            </w:pPr>
            <w:r>
              <w:rPr>
                <w:rFonts w:cs="Times New Roman" w:hAnsi="Times New Roman" w:eastAsia="Times New Roman" w:ascii="Times New Roman"/>
                <w:sz w:val="18"/>
              </w:rPr>
              <w:t xml:space="preserve"> </w:t>
            </w:r>
          </w:p>
          <w:p>
            <w:pPr>
              <w:spacing w:before="0" w:after="0" w:line="259" w:lineRule="auto"/>
              <w:ind w:left="0" w:right="0" w:firstLine="0"/>
              <w:jc w:val="left"/>
            </w:pPr>
            <w:r>
              <w:rPr>
                <w:rFonts w:cs="Times New Roman" w:hAnsi="Times New Roman" w:eastAsia="Times New Roman" w:ascii="Times New Roman"/>
                <w:sz w:val="18"/>
              </w:rPr>
              <w:t xml:space="preserve">Women </w:t>
            </w:r>
          </w:p>
          <w:p>
            <w:pPr>
              <w:spacing w:before="0" w:after="0" w:line="259" w:lineRule="auto"/>
              <w:ind w:left="0" w:right="0" w:firstLine="0"/>
              <w:jc w:val="left"/>
            </w:pPr>
            <w:r>
              <w:rPr>
                <w:rFonts w:cs="Times New Roman" w:hAnsi="Times New Roman" w:eastAsia="Times New Roman" w:ascii="Times New Roman"/>
                <w:sz w:val="18"/>
              </w:rPr>
              <w:t xml:space="preserve">adequately </w:t>
            </w:r>
          </w:p>
        </w:tc>
        <w:tc>
          <w:tcPr>
            <w:tcW w:w="967" w:type="dxa"/>
            <w:tcBorders>
              <w:top w:val="single" w:sz="8" w:color="000000"/>
              <w:left w:val="single" w:sz="8" w:color="000000"/>
              <w:bottom w:val="single" w:sz="8" w:color="000000"/>
              <w:right w:val="single" w:sz="8" w:color="000000"/>
            </w:tcBorders>
            <w:vAlign w:val="top"/>
          </w:tcPr>
          <w:p>
            <w:pPr>
              <w:spacing w:before="0" w:after="0" w:line="259" w:lineRule="auto"/>
              <w:ind w:left="108" w:right="0" w:firstLine="0"/>
              <w:jc w:val="left"/>
            </w:pPr>
            <w:r>
              <w:rPr>
                <w:rFonts w:cs="Times New Roman" w:hAnsi="Times New Roman" w:eastAsia="Times New Roman" w:ascii="Times New Roman"/>
                <w:sz w:val="18"/>
              </w:rPr>
              <w:t xml:space="preserve">January to </w:t>
            </w:r>
          </w:p>
          <w:p>
            <w:pPr>
              <w:spacing w:before="0" w:after="0" w:line="259" w:lineRule="auto"/>
              <w:ind w:left="108" w:right="0" w:firstLine="0"/>
              <w:jc w:val="left"/>
            </w:pPr>
            <w:r>
              <w:rPr>
                <w:rFonts w:cs="Times New Roman" w:hAnsi="Times New Roman" w:eastAsia="Times New Roman" w:ascii="Times New Roman"/>
                <w:sz w:val="18"/>
              </w:rPr>
              <w:t xml:space="preserve">March, </w:t>
            </w:r>
          </w:p>
          <w:p>
            <w:pPr>
              <w:spacing w:before="0" w:after="0" w:line="259" w:lineRule="auto"/>
              <w:ind w:left="108" w:right="0" w:firstLine="0"/>
              <w:jc w:val="left"/>
            </w:pPr>
            <w:r>
              <w:rPr>
                <w:rFonts w:cs="Times New Roman" w:hAnsi="Times New Roman" w:eastAsia="Times New Roman" w:ascii="Times New Roman"/>
                <w:sz w:val="18"/>
              </w:rPr>
              <w:t xml:space="preserve">2011 </w:t>
            </w:r>
          </w:p>
        </w:tc>
        <w:tc>
          <w:tcPr>
            <w:tcW w:w="2551" w:type="dxa"/>
            <w:tcBorders>
              <w:top w:val="single" w:sz="8" w:color="000000"/>
              <w:left w:val="single" w:sz="8" w:color="000000"/>
              <w:bottom w:val="single" w:sz="8" w:color="000000"/>
              <w:right w:val="single" w:sz="8" w:color="000000"/>
            </w:tcBorders>
            <w:vAlign w:val="top"/>
          </w:tcPr>
          <w:p>
            <w:pPr>
              <w:numPr>
                <w:ilvl w:val="0"/>
                <w:numId w:val="10"/>
              </w:numPr>
              <w:spacing w:before="0" w:after="0" w:line="249" w:lineRule="auto"/>
              <w:ind w:left="468" w:right="242" w:hanging="360"/>
              <w:jc w:val="left"/>
            </w:pPr>
            <w:r>
              <w:rPr>
                <w:rFonts w:cs="Times New Roman" w:hAnsi="Times New Roman" w:eastAsia="Times New Roman" w:ascii="Times New Roman"/>
                <w:sz w:val="18"/>
              </w:rPr>
              <w:t xml:space="preserve">Delay by MoJ in the endorsement of the gender </w:t>
            </w:r>
          </w:p>
          <w:p>
            <w:pPr>
              <w:spacing w:before="0" w:after="0" w:line="259" w:lineRule="auto"/>
              <w:ind w:left="468" w:right="0" w:firstLine="0"/>
              <w:jc w:val="left"/>
            </w:pPr>
            <w:r>
              <w:rPr>
                <w:rFonts w:cs="Times New Roman" w:hAnsi="Times New Roman" w:eastAsia="Times New Roman" w:ascii="Times New Roman"/>
                <w:sz w:val="18"/>
              </w:rPr>
              <w:t xml:space="preserve">PSD and AWP by end </w:t>
            </w:r>
          </w:p>
          <w:p>
            <w:pPr>
              <w:spacing w:before="0" w:after="0" w:line="239" w:lineRule="auto"/>
              <w:ind w:left="468" w:right="0" w:firstLine="0"/>
              <w:jc w:val="left"/>
            </w:pPr>
            <w:r>
              <w:rPr>
                <w:rFonts w:cs="Times New Roman" w:hAnsi="Times New Roman" w:eastAsia="Times New Roman" w:ascii="Times New Roman"/>
                <w:sz w:val="18"/>
              </w:rPr>
              <w:t xml:space="preserve">January will delay commencement of the project activities. </w:t>
            </w:r>
          </w:p>
          <w:p>
            <w:pPr>
              <w:spacing w:before="0" w:after="0" w:line="259" w:lineRule="auto"/>
              <w:ind w:left="468" w:right="0" w:firstLine="0"/>
              <w:jc w:val="left"/>
            </w:pPr>
            <w:r>
              <w:rPr>
                <w:rFonts w:cs="Times New Roman" w:hAnsi="Times New Roman" w:eastAsia="Times New Roman" w:ascii="Times New Roman"/>
                <w:sz w:val="18"/>
              </w:rPr>
              <w:t xml:space="preserve"> </w:t>
            </w:r>
          </w:p>
          <w:p>
            <w:pPr>
              <w:spacing w:before="0" w:after="52" w:line="259" w:lineRule="auto"/>
              <w:ind w:left="468" w:right="0" w:firstLine="0"/>
              <w:jc w:val="left"/>
            </w:pPr>
            <w:r>
              <w:rPr>
                <w:rFonts w:cs="Times New Roman" w:hAnsi="Times New Roman" w:eastAsia="Times New Roman" w:ascii="Times New Roman"/>
                <w:sz w:val="18"/>
              </w:rPr>
              <w:t xml:space="preserve"> </w:t>
            </w:r>
          </w:p>
          <w:p>
            <w:pPr>
              <w:numPr>
                <w:ilvl w:val="0"/>
                <w:numId w:val="10"/>
              </w:numPr>
              <w:spacing w:before="0" w:after="0" w:line="240" w:lineRule="auto"/>
              <w:ind w:left="468" w:right="242" w:hanging="360"/>
              <w:jc w:val="left"/>
            </w:pPr>
            <w:r>
              <w:rPr>
                <w:rFonts w:cs="Times New Roman" w:hAnsi="Times New Roman" w:eastAsia="Times New Roman" w:ascii="Times New Roman"/>
                <w:sz w:val="18"/>
              </w:rPr>
              <w:t xml:space="preserve">Lack of capacity by MoJ  to coordinate and implement the project </w:t>
            </w:r>
          </w:p>
          <w:p>
            <w:pPr>
              <w:spacing w:before="0" w:after="0" w:line="259" w:lineRule="auto"/>
              <w:ind w:left="468" w:right="0" w:firstLine="0"/>
              <w:jc w:val="left"/>
            </w:pPr>
            <w:r>
              <w:rPr>
                <w:rFonts w:cs="Times New Roman" w:hAnsi="Times New Roman" w:eastAsia="Times New Roman" w:ascii="Times New Roman"/>
                <w:sz w:val="18"/>
              </w:rPr>
              <w:t xml:space="preserve">activities </w:t>
            </w:r>
          </w:p>
          <w:p>
            <w:pPr>
              <w:spacing w:before="0" w:after="49" w:line="259" w:lineRule="auto"/>
              <w:ind w:left="468" w:right="0" w:firstLine="0"/>
              <w:jc w:val="left"/>
            </w:pPr>
            <w:r>
              <w:rPr>
                <w:rFonts w:cs="Times New Roman" w:hAnsi="Times New Roman" w:eastAsia="Times New Roman" w:ascii="Times New Roman"/>
                <w:sz w:val="18"/>
              </w:rPr>
              <w:t xml:space="preserve"> </w:t>
            </w:r>
          </w:p>
          <w:p>
            <w:pPr>
              <w:numPr>
                <w:ilvl w:val="0"/>
                <w:numId w:val="10"/>
              </w:numPr>
              <w:spacing w:before="0" w:after="0" w:line="241" w:lineRule="auto"/>
              <w:ind w:left="468" w:right="242" w:hanging="360"/>
              <w:jc w:val="left"/>
            </w:pPr>
            <w:r>
              <w:rPr>
                <w:rFonts w:cs="Times New Roman" w:hAnsi="Times New Roman" w:eastAsia="Times New Roman" w:ascii="Times New Roman"/>
                <w:sz w:val="18"/>
              </w:rPr>
              <w:t xml:space="preserve">Lack of efficiency in financial and project management </w:t>
            </w:r>
          </w:p>
          <w:p>
            <w:pPr>
              <w:spacing w:before="0" w:after="52" w:line="259" w:lineRule="auto"/>
              <w:ind w:left="468" w:right="0" w:firstLine="0"/>
              <w:jc w:val="left"/>
            </w:pPr>
            <w:r>
              <w:rPr>
                <w:rFonts w:cs="Times New Roman" w:hAnsi="Times New Roman" w:eastAsia="Times New Roman" w:ascii="Times New Roman"/>
                <w:sz w:val="18"/>
              </w:rPr>
              <w:t xml:space="preserve"> </w:t>
            </w:r>
          </w:p>
          <w:p>
            <w:pPr>
              <w:numPr>
                <w:ilvl w:val="0"/>
                <w:numId w:val="10"/>
              </w:numPr>
              <w:spacing w:before="0" w:after="0" w:line="259" w:lineRule="auto"/>
              <w:ind w:left="468" w:right="242" w:hanging="360"/>
              <w:jc w:val="left"/>
            </w:pPr>
            <w:r>
              <w:rPr>
                <w:rFonts w:cs="Times New Roman" w:hAnsi="Times New Roman" w:eastAsia="Times New Roman" w:ascii="Times New Roman"/>
                <w:sz w:val="18"/>
              </w:rPr>
              <w:t xml:space="preserve">Unequal representation of </w:t>
            </w:r>
          </w:p>
        </w:tc>
        <w:tc>
          <w:tcPr>
            <w:tcW w:w="1702" w:type="dxa"/>
            <w:tcBorders>
              <w:top w:val="single" w:sz="8" w:color="000000"/>
              <w:left w:val="single" w:sz="8" w:color="000000"/>
              <w:bottom w:val="single" w:sz="8" w:color="000000"/>
              <w:right w:val="single" w:sz="8" w:color="000000"/>
            </w:tcBorders>
            <w:vAlign w:val="top"/>
          </w:tcPr>
          <w:p>
            <w:pPr>
              <w:spacing w:before="0" w:after="0" w:line="259" w:lineRule="auto"/>
              <w:ind w:left="108" w:right="0" w:firstLine="0"/>
              <w:jc w:val="left"/>
            </w:pPr>
            <w:r>
              <w:rPr>
                <w:rFonts w:cs="Times New Roman" w:hAnsi="Times New Roman" w:eastAsia="Times New Roman" w:ascii="Times New Roman"/>
                <w:sz w:val="18"/>
              </w:rPr>
              <w:t xml:space="preserve">High </w:t>
            </w:r>
          </w:p>
        </w:tc>
        <w:tc>
          <w:tcPr>
            <w:tcW w:w="1702" w:type="dxa"/>
            <w:tcBorders>
              <w:top w:val="single" w:sz="8" w:color="000000"/>
              <w:left w:val="single" w:sz="8" w:color="000000"/>
              <w:bottom w:val="single" w:sz="8" w:color="000000"/>
              <w:right w:val="single" w:sz="8" w:color="000000"/>
            </w:tcBorders>
            <w:vAlign w:val="top"/>
          </w:tcPr>
          <w:p>
            <w:pPr>
              <w:numPr>
                <w:ilvl w:val="0"/>
                <w:numId w:val="11"/>
              </w:numPr>
              <w:spacing w:before="0" w:after="0" w:line="259" w:lineRule="auto"/>
              <w:ind w:left="468" w:right="0" w:hanging="360"/>
              <w:jc w:val="left"/>
            </w:pPr>
            <w:r>
              <w:rPr>
                <w:rFonts w:cs="Times New Roman" w:hAnsi="Times New Roman" w:eastAsia="Times New Roman" w:ascii="Times New Roman"/>
                <w:sz w:val="18"/>
              </w:rPr>
              <w:t xml:space="preserve">Provide </w:t>
            </w:r>
          </w:p>
          <w:p>
            <w:pPr>
              <w:spacing w:before="0" w:after="0" w:line="238" w:lineRule="auto"/>
              <w:ind w:left="468" w:right="53" w:firstLine="0"/>
              <w:jc w:val="left"/>
            </w:pPr>
            <w:r>
              <w:rPr>
                <w:rFonts w:cs="Times New Roman" w:hAnsi="Times New Roman" w:eastAsia="Times New Roman" w:ascii="Times New Roman"/>
                <w:sz w:val="18"/>
              </w:rPr>
              <w:t xml:space="preserve">support to key stakeholder enabling them to give priority towards the endorsement and implementatio n of the project </w:t>
            </w:r>
          </w:p>
          <w:p>
            <w:pPr>
              <w:spacing w:before="0" w:after="67" w:line="239" w:lineRule="auto"/>
              <w:ind w:left="468" w:right="0" w:firstLine="0"/>
              <w:jc w:val="left"/>
            </w:pPr>
            <w:r>
              <w:rPr>
                <w:rFonts w:cs="Times New Roman" w:hAnsi="Times New Roman" w:eastAsia="Times New Roman" w:ascii="Times New Roman"/>
                <w:sz w:val="18"/>
              </w:rPr>
              <w:t xml:space="preserve">as a key tool in advancing development </w:t>
            </w:r>
          </w:p>
          <w:p>
            <w:pPr>
              <w:numPr>
                <w:ilvl w:val="0"/>
                <w:numId w:val="11"/>
              </w:numPr>
              <w:spacing w:before="0" w:after="0" w:line="259" w:lineRule="auto"/>
              <w:ind w:left="468" w:right="0" w:hanging="360"/>
              <w:jc w:val="left"/>
            </w:pPr>
            <w:r>
              <w:rPr>
                <w:rFonts w:cs="Times New Roman" w:hAnsi="Times New Roman" w:eastAsia="Times New Roman" w:ascii="Times New Roman"/>
                <w:sz w:val="18"/>
              </w:rPr>
              <w:t xml:space="preserve">Provide </w:t>
            </w:r>
          </w:p>
          <w:p>
            <w:pPr>
              <w:spacing w:before="0" w:after="0" w:line="259" w:lineRule="auto"/>
              <w:ind w:left="468" w:right="0" w:firstLine="0"/>
              <w:jc w:val="left"/>
            </w:pPr>
            <w:r>
              <w:rPr>
                <w:rFonts w:cs="Times New Roman" w:hAnsi="Times New Roman" w:eastAsia="Times New Roman" w:ascii="Times New Roman"/>
                <w:sz w:val="18"/>
              </w:rPr>
              <w:t xml:space="preserve">support to MoJ in order to strengthen its capacity in </w:t>
            </w:r>
          </w:p>
        </w:tc>
        <w:tc>
          <w:tcPr>
            <w:tcW w:w="1698" w:type="dxa"/>
            <w:tcBorders>
              <w:top w:val="single" w:sz="8" w:color="000000"/>
              <w:left w:val="single" w:sz="8" w:color="000000"/>
              <w:bottom w:val="single" w:sz="8" w:color="000000"/>
              <w:right w:val="single" w:sz="8" w:color="000000"/>
            </w:tcBorders>
            <w:vAlign w:val="top"/>
          </w:tcPr>
          <w:p>
            <w:pPr>
              <w:spacing w:before="0" w:after="0" w:line="259" w:lineRule="auto"/>
              <w:ind w:left="108" w:right="0" w:firstLine="0"/>
              <w:jc w:val="left"/>
            </w:pPr>
            <w:r>
              <w:rPr>
                <w:rFonts w:cs="Times New Roman" w:hAnsi="Times New Roman" w:eastAsia="Times New Roman" w:ascii="Times New Roman"/>
                <w:sz w:val="18"/>
              </w:rPr>
              <w:t xml:space="preserve"> </w:t>
            </w:r>
          </w:p>
        </w:tc>
      </w:tr>
    </w:tbl>
    <w:p>
      <w:pPr>
        <w:spacing w:before="0" w:after="0" w:line="259" w:lineRule="auto"/>
        <w:ind w:left="-1440" w:right="7992" w:firstLine="0"/>
        <w:jc w:val="left"/>
      </w:pPr>
    </w:p>
    <w:tbl>
      <w:tblPr>
        <w:tblStyle w:val="TableGrid"/>
        <w:tblW w:w="13691" w:type="dxa"/>
        <w:tblInd w:w="-211" w:type="dxa"/>
        <w:tblCellMar>
          <w:top w:w="12" w:type="dxa"/>
          <w:left w:w="0" w:type="dxa"/>
          <w:bottom w:w="0" w:type="dxa"/>
          <w:right w:w="0" w:type="dxa"/>
        </w:tblCellMar>
      </w:tblPr>
      <w:tblGrid>
        <w:gridCol w:w="1438"/>
        <w:gridCol w:w="774"/>
        <w:gridCol w:w="1134"/>
        <w:gridCol w:w="1726"/>
        <w:gridCol w:w="967"/>
        <w:gridCol w:w="2551"/>
        <w:gridCol w:w="1702"/>
        <w:gridCol w:w="1702"/>
        <w:gridCol w:w="190"/>
        <w:gridCol w:w="1508"/>
      </w:tblGrid>
      <w:tr>
        <w:trPr>
          <w:trHeight w:val="799" w:hRule="atLeast"/>
        </w:trPr>
        <w:tc>
          <w:tcPr>
            <w:tcW w:w="1438" w:type="dxa"/>
            <w:vMerge w:val="restart"/>
            <w:tcBorders>
              <w:top w:val="single" w:sz="8" w:color="000000"/>
              <w:left w:val="single" w:sz="8" w:color="000000"/>
              <w:bottom w:val="single" w:sz="8" w:color="000000"/>
              <w:right w:val="single" w:sz="8" w:color="000000"/>
            </w:tcBorders>
            <w:shd w:val="clear" w:fill="ffcc00"/>
            <w:vAlign w:val="center"/>
          </w:tcPr>
          <w:p>
            <w:pPr>
              <w:spacing w:before="0" w:after="0" w:line="259" w:lineRule="auto"/>
              <w:ind w:left="106" w:right="0" w:firstLine="0"/>
              <w:jc w:val="left"/>
            </w:pPr>
            <w:r>
              <w:rPr>
                <w:rFonts w:cs="Times New Roman" w:hAnsi="Times New Roman" w:eastAsia="Times New Roman" w:ascii="Times New Roman"/>
                <w:b w:val="1"/>
                <w:sz w:val="22"/>
              </w:rPr>
              <w:t xml:space="preserve">Critical </w:t>
            </w:r>
          </w:p>
          <w:p>
            <w:pPr>
              <w:spacing w:before="0" w:after="0" w:line="259" w:lineRule="auto"/>
              <w:ind w:left="106" w:right="0" w:firstLine="0"/>
              <w:jc w:val="left"/>
            </w:pPr>
            <w:r>
              <w:rPr>
                <w:rFonts w:cs="Times New Roman" w:hAnsi="Times New Roman" w:eastAsia="Times New Roman" w:ascii="Times New Roman"/>
                <w:b w:val="1"/>
                <w:sz w:val="22"/>
              </w:rPr>
              <w:t xml:space="preserve">Issue/Event</w:t>
            </w:r>
            <w:r>
              <w:rPr>
                <w:rFonts w:cs="Times New Roman" w:hAnsi="Times New Roman" w:eastAsia="Times New Roman" w:ascii="Times New Roman"/>
                <w:b w:val="1"/>
              </w:rPr>
              <w:t xml:space="preserve"> </w:t>
            </w:r>
          </w:p>
        </w:tc>
        <w:tc>
          <w:tcPr>
            <w:tcW w:w="774" w:type="dxa"/>
            <w:vMerge w:val="restart"/>
            <w:tcBorders>
              <w:top w:val="single" w:sz="8" w:color="000000"/>
              <w:left w:val="single" w:sz="8" w:color="000000"/>
              <w:bottom w:val="single" w:sz="8" w:color="000000"/>
              <w:right w:val="single" w:sz="8" w:color="000000"/>
            </w:tcBorders>
            <w:shd w:val="clear" w:fill="ffcc00"/>
            <w:vAlign w:val="center"/>
          </w:tcPr>
          <w:p>
            <w:pPr>
              <w:spacing w:before="0" w:after="0" w:line="259" w:lineRule="auto"/>
              <w:ind w:left="108" w:right="0" w:firstLine="0"/>
              <w:jc w:val="left"/>
            </w:pPr>
            <w:r>
              <w:rPr>
                <w:rFonts w:cs="Times New Roman" w:hAnsi="Times New Roman" w:eastAsia="Times New Roman" w:ascii="Times New Roman"/>
                <w:b w:val="1"/>
                <w:sz w:val="22"/>
              </w:rPr>
              <w:t xml:space="preserve">Dead</w:t>
            </w:r>
            <w:r>
              <w:rPr>
                <w:rFonts w:cs="Times New Roman" w:hAnsi="Times New Roman" w:eastAsia="Times New Roman" w:ascii="Times New Roman"/>
                <w:b w:val="1"/>
              </w:rPr>
              <w:t xml:space="preserve"> </w:t>
            </w:r>
          </w:p>
          <w:p>
            <w:pPr>
              <w:spacing w:before="0" w:after="0" w:line="259" w:lineRule="auto"/>
              <w:ind w:left="108" w:right="0" w:firstLine="0"/>
              <w:jc w:val="left"/>
            </w:pPr>
            <w:r>
              <w:rPr>
                <w:rFonts w:cs="Times New Roman" w:hAnsi="Times New Roman" w:eastAsia="Times New Roman" w:ascii="Times New Roman"/>
                <w:b w:val="1"/>
                <w:sz w:val="22"/>
              </w:rPr>
              <w:t xml:space="preserve">line</w:t>
            </w:r>
            <w:r>
              <w:rPr>
                <w:rFonts w:cs="Times New Roman" w:hAnsi="Times New Roman" w:eastAsia="Times New Roman" w:ascii="Times New Roman"/>
                <w:b w:val="1"/>
              </w:rPr>
              <w:t xml:space="preserve"> </w:t>
            </w:r>
          </w:p>
        </w:tc>
        <w:tc>
          <w:tcPr>
            <w:tcW w:w="1134" w:type="dxa"/>
            <w:vMerge w:val="restart"/>
            <w:tcBorders>
              <w:top w:val="single" w:sz="8" w:color="000000"/>
              <w:left w:val="single" w:sz="8" w:color="000000"/>
              <w:bottom w:val="single" w:sz="8" w:color="000000"/>
              <w:right w:val="single" w:sz="8" w:color="000000"/>
            </w:tcBorders>
            <w:shd w:val="clear" w:fill="ffcc00"/>
            <w:vAlign w:val="center"/>
          </w:tcPr>
          <w:p>
            <w:pPr>
              <w:spacing w:before="0" w:after="0" w:line="259" w:lineRule="auto"/>
              <w:ind w:left="107" w:right="0" w:firstLine="0"/>
              <w:jc w:val="left"/>
            </w:pPr>
            <w:r>
              <w:rPr>
                <w:rFonts w:cs="Times New Roman" w:hAnsi="Times New Roman" w:eastAsia="Times New Roman" w:ascii="Times New Roman"/>
                <w:b w:val="1"/>
                <w:sz w:val="22"/>
              </w:rPr>
              <w:t xml:space="preserve">Stakehol ders </w:t>
            </w:r>
            <w:r>
              <w:rPr>
                <w:rFonts w:cs="Times New Roman" w:hAnsi="Times New Roman" w:eastAsia="Times New Roman" w:ascii="Times New Roman"/>
                <w:b w:val="1"/>
              </w:rPr>
              <w:t xml:space="preserve"> </w:t>
            </w:r>
          </w:p>
        </w:tc>
        <w:tc>
          <w:tcPr>
            <w:tcW w:w="2693" w:type="dxa"/>
            <w:gridSpan w:val="2"/>
            <w:tcBorders>
              <w:top w:val="single" w:sz="8" w:color="000000"/>
              <w:left w:val="single" w:sz="8" w:color="000000"/>
              <w:bottom w:val="single" w:sz="8" w:color="000000"/>
              <w:right w:val="single" w:sz="8" w:color="000000"/>
            </w:tcBorders>
            <w:shd w:val="clear" w:fill="ffcc00"/>
            <w:vAlign w:val="top"/>
          </w:tcPr>
          <w:p>
            <w:pPr>
              <w:spacing w:before="0" w:after="0" w:line="259" w:lineRule="auto"/>
              <w:ind w:left="108" w:right="0" w:firstLine="0"/>
              <w:jc w:val="left"/>
            </w:pPr>
            <w:r>
              <w:rPr>
                <w:rFonts w:cs="Times New Roman" w:hAnsi="Times New Roman" w:eastAsia="Times New Roman" w:ascii="Times New Roman"/>
                <w:b w:val="1"/>
                <w:sz w:val="22"/>
              </w:rPr>
              <w:t xml:space="preserve">What stakeholders need </w:t>
            </w:r>
          </w:p>
          <w:p>
            <w:pPr>
              <w:spacing w:before="0" w:after="0" w:line="259" w:lineRule="auto"/>
              <w:ind w:left="108" w:right="0" w:firstLine="0"/>
              <w:jc w:val="left"/>
            </w:pPr>
            <w:r>
              <w:rPr>
                <w:rFonts w:cs="Times New Roman" w:hAnsi="Times New Roman" w:eastAsia="Times New Roman" w:ascii="Times New Roman"/>
                <w:b w:val="1"/>
                <w:sz w:val="22"/>
              </w:rPr>
              <w:t xml:space="preserve">to do</w:t>
            </w:r>
            <w:r>
              <w:rPr>
                <w:rFonts w:cs="Times New Roman" w:hAnsi="Times New Roman" w:eastAsia="Times New Roman" w:ascii="Times New Roman"/>
                <w:b w:val="1"/>
              </w:rPr>
              <w:t xml:space="preserve"> </w:t>
            </w:r>
          </w:p>
          <w:p>
            <w:pPr>
              <w:spacing w:before="0" w:after="0" w:line="259" w:lineRule="auto"/>
              <w:ind w:left="108" w:right="0" w:firstLine="0"/>
              <w:jc w:val="left"/>
            </w:pPr>
            <w:r>
              <w:rPr>
                <w:rFonts w:cs="Times New Roman" w:hAnsi="Times New Roman" w:eastAsia="Times New Roman" w:ascii="Times New Roman"/>
                <w:b w:val="1"/>
                <w:sz w:val="22"/>
              </w:rPr>
              <w:t xml:space="preserve">                            </w:t>
            </w:r>
            <w:r>
              <w:rPr>
                <w:rFonts w:cs="Times New Roman" w:hAnsi="Times New Roman" w:eastAsia="Times New Roman" w:ascii="Times New Roman"/>
                <w:b w:val="1"/>
              </w:rPr>
              <w:t xml:space="preserve"> </w:t>
            </w:r>
          </w:p>
        </w:tc>
        <w:tc>
          <w:tcPr>
            <w:tcW w:w="2551" w:type="dxa"/>
            <w:vMerge w:val="restart"/>
            <w:tcBorders>
              <w:top w:val="single" w:sz="8" w:color="000000"/>
              <w:left w:val="single" w:sz="8" w:color="000000"/>
              <w:bottom w:val="single" w:sz="8" w:color="000000"/>
              <w:right w:val="single" w:sz="8" w:color="000000"/>
            </w:tcBorders>
            <w:shd w:val="clear" w:fill="ffcc00"/>
            <w:vAlign w:val="center"/>
          </w:tcPr>
          <w:p>
            <w:pPr>
              <w:spacing w:before="0" w:after="11" w:line="239" w:lineRule="auto"/>
              <w:ind w:left="0" w:right="0" w:firstLine="0"/>
              <w:jc w:val="center"/>
            </w:pPr>
            <w:r>
              <w:rPr>
                <w:rFonts w:cs="Times New Roman" w:hAnsi="Times New Roman" w:eastAsia="Times New Roman" w:ascii="Times New Roman"/>
                <w:b w:val="1"/>
                <w:sz w:val="22"/>
              </w:rPr>
              <w:t xml:space="preserve">Potential impact/risk of deadline being </w:t>
            </w:r>
          </w:p>
          <w:p>
            <w:pPr>
              <w:spacing w:before="0" w:after="0" w:line="259" w:lineRule="auto"/>
              <w:ind w:left="0" w:right="1" w:firstLine="0"/>
              <w:jc w:val="center"/>
            </w:pPr>
            <w:r>
              <w:rPr>
                <w:rFonts w:cs="Times New Roman" w:hAnsi="Times New Roman" w:eastAsia="Times New Roman" w:ascii="Times New Roman"/>
                <w:b w:val="1"/>
                <w:sz w:val="22"/>
              </w:rPr>
              <w:t xml:space="preserve">missed/major problem</w:t>
            </w:r>
            <w:r>
              <w:rPr>
                <w:rFonts w:cs="Times New Roman" w:hAnsi="Times New Roman" w:eastAsia="Times New Roman" w:ascii="Times New Roman"/>
                <w:b w:val="1"/>
              </w:rPr>
              <w:t xml:space="preserve"> </w:t>
            </w:r>
          </w:p>
        </w:tc>
        <w:tc>
          <w:tcPr>
            <w:tcW w:w="1702" w:type="dxa"/>
            <w:vMerge w:val="restart"/>
            <w:tcBorders>
              <w:top w:val="single" w:sz="8" w:color="000000"/>
              <w:left w:val="single" w:sz="8" w:color="000000"/>
              <w:bottom w:val="single" w:sz="8" w:color="000000"/>
              <w:right w:val="single" w:sz="8" w:color="000000"/>
            </w:tcBorders>
            <w:shd w:val="clear" w:fill="ffcc00"/>
            <w:vAlign w:val="center"/>
          </w:tcPr>
          <w:p>
            <w:pPr>
              <w:spacing w:before="0" w:after="0" w:line="259" w:lineRule="auto"/>
              <w:ind w:left="108" w:right="298" w:firstLine="0"/>
              <w:jc w:val="left"/>
            </w:pPr>
            <w:r>
              <w:rPr>
                <w:rFonts w:cs="Times New Roman" w:hAnsi="Times New Roman" w:eastAsia="Times New Roman" w:ascii="Times New Roman"/>
                <w:b w:val="1"/>
                <w:sz w:val="22"/>
              </w:rPr>
              <w:t xml:space="preserve">Risk</w:t>
            </w:r>
            <w:r>
              <w:rPr>
                <w:rFonts w:cs="Times New Roman" w:hAnsi="Times New Roman" w:eastAsia="Times New Roman" w:ascii="Times New Roman"/>
                <w:b w:val="1"/>
              </w:rPr>
              <w:t xml:space="preserve"> </w:t>
            </w:r>
            <w:r>
              <w:rPr>
                <w:rFonts w:cs="Times New Roman" w:hAnsi="Times New Roman" w:eastAsia="Times New Roman" w:ascii="Times New Roman"/>
                <w:b w:val="1"/>
                <w:sz w:val="22"/>
              </w:rPr>
              <w:t xml:space="preserve">(Impact/ likelihood)</w:t>
            </w:r>
            <w:r>
              <w:rPr>
                <w:rFonts w:cs="Times New Roman" w:hAnsi="Times New Roman" w:eastAsia="Times New Roman" w:ascii="Times New Roman"/>
                <w:b w:val="1"/>
              </w:rPr>
              <w:t xml:space="preserve"> </w:t>
            </w:r>
          </w:p>
        </w:tc>
        <w:tc>
          <w:tcPr>
            <w:tcW w:w="1702" w:type="dxa"/>
            <w:vMerge w:val="restart"/>
            <w:tcBorders>
              <w:top w:val="single" w:sz="8" w:color="000000"/>
              <w:left w:val="single" w:sz="8" w:color="000000"/>
              <w:bottom w:val="single" w:sz="8" w:color="000000"/>
              <w:right w:val="single" w:sz="8" w:color="000000"/>
            </w:tcBorders>
            <w:shd w:val="clear" w:fill="ffcc00"/>
            <w:vAlign w:val="center"/>
          </w:tcPr>
          <w:p>
            <w:pPr>
              <w:spacing w:before="0" w:after="0" w:line="259" w:lineRule="auto"/>
              <w:ind w:left="108" w:right="0" w:firstLine="0"/>
              <w:jc w:val="left"/>
            </w:pPr>
            <w:r>
              <w:rPr>
                <w:rFonts w:cs="Times New Roman" w:hAnsi="Times New Roman" w:eastAsia="Times New Roman" w:ascii="Times New Roman"/>
                <w:b w:val="1"/>
                <w:sz w:val="22"/>
              </w:rPr>
              <w:t xml:space="preserve">Risk Mitigation</w:t>
            </w:r>
            <w:r>
              <w:rPr>
                <w:rFonts w:cs="Times New Roman" w:hAnsi="Times New Roman" w:eastAsia="Times New Roman" w:ascii="Times New Roman"/>
                <w:b w:val="1"/>
                <w:sz w:val="24"/>
              </w:rPr>
              <w:t xml:space="preserve"> </w:t>
            </w:r>
          </w:p>
        </w:tc>
        <w:tc>
          <w:tcPr>
            <w:tcW w:w="1698" w:type="dxa"/>
            <w:gridSpan w:val="2"/>
            <w:vMerge w:val="restart"/>
            <w:tcBorders>
              <w:top w:val="single" w:sz="8" w:color="000000"/>
              <w:left w:val="single" w:sz="8" w:color="000000"/>
              <w:bottom w:val="single" w:sz="8" w:color="000000"/>
              <w:right w:val="single" w:sz="8" w:color="000000"/>
            </w:tcBorders>
            <w:shd w:val="clear" w:fill="ffcc00"/>
            <w:vAlign w:val="top"/>
          </w:tcPr>
          <w:p>
            <w:pPr>
              <w:spacing w:before="0" w:after="0" w:line="259" w:lineRule="auto"/>
              <w:ind w:left="108" w:right="0" w:firstLine="0"/>
              <w:jc w:val="left"/>
            </w:pPr>
            <w:r>
              <w:rPr>
                <w:rFonts w:cs="Times New Roman" w:hAnsi="Times New Roman" w:eastAsia="Times New Roman" w:ascii="Times New Roman"/>
                <w:b w:val="1"/>
                <w:sz w:val="22"/>
              </w:rPr>
              <w:t xml:space="preserve">Status: On </w:t>
            </w:r>
          </w:p>
          <w:p>
            <w:pPr>
              <w:spacing w:before="0" w:after="0" w:line="259" w:lineRule="auto"/>
              <w:ind w:left="108" w:right="0" w:firstLine="0"/>
              <w:jc w:val="left"/>
            </w:pPr>
            <w:r>
              <w:rPr>
                <w:rFonts w:cs="Times New Roman" w:hAnsi="Times New Roman" w:eastAsia="Times New Roman" w:ascii="Times New Roman"/>
                <w:b w:val="1"/>
                <w:sz w:val="22"/>
              </w:rPr>
              <w:t xml:space="preserve">Track or not?</w:t>
            </w:r>
            <w:r>
              <w:rPr>
                <w:rFonts w:cs="Times New Roman" w:hAnsi="Times New Roman" w:eastAsia="Times New Roman" w:ascii="Times New Roman"/>
                <w:b w:val="1"/>
              </w:rPr>
              <w:t xml:space="preserve"> </w:t>
            </w:r>
          </w:p>
        </w:tc>
      </w:tr>
      <w:tr>
        <w:trPr>
          <w:trHeight w:val="408" w:hRule="atLeast"/>
        </w:trPr>
        <w:tc>
          <w:tcPr>
            <w:vMerge w:val="continue"/>
            <w:tcBorders>
              <w:top w:val="nil"/>
              <w:left w:val="single" w:sz="8" w:color="000000"/>
              <w:bottom w:val="single" w:sz="8" w:color="000000"/>
              <w:right w:val="single" w:sz="8" w:color="000000"/>
            </w:tcBorders>
            <w:vAlign w:val="center"/>
          </w:tcPr>
          <w:p>
            <w:pPr>
              <w:bidi w:val="0"/>
              <w:spacing w:before="0" w:after="160" w:line="259" w:lineRule="auto"/>
              <w:ind w:left="0" w:right="0" w:firstLine="0"/>
              <w:jc w:val="left"/>
            </w:pPr>
          </w:p>
        </w:tc>
        <w:tc>
          <w:tcPr>
            <w:vMerge w:val="continue"/>
            <w:tcBorders>
              <w:top w:val="nil"/>
              <w:left w:val="single" w:sz="8" w:color="000000"/>
              <w:bottom w:val="single" w:sz="8" w:color="000000"/>
              <w:right w:val="single" w:sz="8" w:color="000000"/>
            </w:tcBorders>
            <w:vAlign w:val="bottom"/>
          </w:tcPr>
          <w:p>
            <w:pPr>
              <w:bidi w:val="0"/>
              <w:spacing w:before="0" w:after="160" w:line="259" w:lineRule="auto"/>
              <w:ind w:left="0" w:right="0" w:firstLine="0"/>
              <w:jc w:val="left"/>
            </w:pPr>
          </w:p>
        </w:tc>
        <w:tc>
          <w:tcPr>
            <w:vMerge w:val="continue"/>
            <w:tcBorders>
              <w:top w:val="nil"/>
              <w:left w:val="single" w:sz="8" w:color="000000"/>
              <w:bottom w:val="single" w:sz="8" w:color="000000"/>
              <w:right w:val="single" w:sz="8" w:color="000000"/>
            </w:tcBorders>
            <w:vAlign w:val="center"/>
          </w:tcPr>
          <w:p>
            <w:pPr>
              <w:bidi w:val="0"/>
              <w:spacing w:before="0" w:after="160" w:line="259" w:lineRule="auto"/>
              <w:ind w:left="0" w:right="0" w:firstLine="0"/>
              <w:jc w:val="left"/>
            </w:pPr>
          </w:p>
        </w:tc>
        <w:tc>
          <w:tcPr>
            <w:tcW w:w="1726" w:type="dxa"/>
            <w:tcBorders>
              <w:top w:val="single" w:sz="8" w:color="000000"/>
              <w:left w:val="single" w:sz="8" w:color="000000"/>
              <w:bottom w:val="single" w:sz="8" w:color="000000"/>
              <w:right w:val="single" w:sz="8" w:color="000000"/>
            </w:tcBorders>
            <w:shd w:val="clear" w:fill="ffcc00"/>
            <w:vAlign w:val="top"/>
          </w:tcPr>
          <w:p>
            <w:pPr>
              <w:spacing w:before="0" w:after="0" w:line="259" w:lineRule="auto"/>
              <w:ind w:left="108" w:right="0" w:firstLine="0"/>
              <w:jc w:val="left"/>
            </w:pPr>
            <w:r>
              <w:rPr>
                <w:rFonts w:cs="Times New Roman" w:hAnsi="Times New Roman" w:eastAsia="Times New Roman" w:ascii="Times New Roman"/>
                <w:b w:val="1"/>
                <w:sz w:val="22"/>
              </w:rPr>
              <w:t xml:space="preserve">What  </w:t>
            </w:r>
            <w:r>
              <w:rPr>
                <w:rFonts w:cs="Times New Roman" w:hAnsi="Times New Roman" w:eastAsia="Times New Roman" w:ascii="Times New Roman"/>
                <w:b w:val="1"/>
              </w:rPr>
              <w:t xml:space="preserve"> </w:t>
            </w:r>
          </w:p>
        </w:tc>
        <w:tc>
          <w:tcPr>
            <w:tcW w:w="967" w:type="dxa"/>
            <w:tcBorders>
              <w:top w:val="single" w:sz="8" w:color="000000"/>
              <w:left w:val="single" w:sz="8" w:color="000000"/>
              <w:bottom w:val="single" w:sz="8" w:color="000000"/>
              <w:right w:val="single" w:sz="8" w:color="000000"/>
            </w:tcBorders>
            <w:shd w:val="clear" w:fill="ffcc00"/>
            <w:vAlign w:val="top"/>
          </w:tcPr>
          <w:p>
            <w:pPr>
              <w:spacing w:before="0" w:after="0" w:line="259" w:lineRule="auto"/>
              <w:ind w:left="108" w:right="0" w:firstLine="0"/>
              <w:jc w:val="left"/>
            </w:pPr>
            <w:r>
              <w:rPr>
                <w:rFonts w:cs="Times New Roman" w:hAnsi="Times New Roman" w:eastAsia="Times New Roman" w:ascii="Times New Roman"/>
                <w:b w:val="1"/>
                <w:sz w:val="22"/>
              </w:rPr>
              <w:t xml:space="preserve">When</w:t>
            </w:r>
            <w:r>
              <w:rPr>
                <w:rFonts w:cs="Times New Roman" w:hAnsi="Times New Roman" w:eastAsia="Times New Roman" w:ascii="Times New Roman"/>
                <w:b w:val="1"/>
              </w:rPr>
              <w:t xml:space="preserve"> </w:t>
            </w:r>
          </w:p>
        </w:tc>
        <w:tc>
          <w:tcPr>
            <w:vMerge w:val="continue"/>
            <w:tcBorders>
              <w:top w:val="nil"/>
              <w:left w:val="single" w:sz="8" w:color="000000"/>
              <w:bottom w:val="single" w:sz="8" w:color="000000"/>
              <w:right w:val="single" w:sz="8" w:color="000000"/>
            </w:tcBorders>
            <w:vAlign w:val="center"/>
          </w:tcPr>
          <w:p>
            <w:pPr>
              <w:bidi w:val="0"/>
              <w:spacing w:before="0" w:after="160" w:line="259" w:lineRule="auto"/>
              <w:ind w:left="0" w:right="0" w:firstLine="0"/>
              <w:jc w:val="left"/>
            </w:pPr>
          </w:p>
        </w:tc>
        <w:tc>
          <w:tcPr>
            <w:vMerge w:val="continue"/>
            <w:tcBorders>
              <w:top w:val="nil"/>
              <w:left w:val="single" w:sz="8" w:color="000000"/>
              <w:bottom w:val="single" w:sz="8" w:color="000000"/>
              <w:right w:val="single" w:sz="8" w:color="000000"/>
            </w:tcBorders>
            <w:vAlign w:val="bottom"/>
          </w:tcPr>
          <w:p>
            <w:pPr>
              <w:bidi w:val="0"/>
              <w:spacing w:before="0" w:after="160" w:line="259" w:lineRule="auto"/>
              <w:ind w:left="0" w:right="0" w:firstLine="0"/>
              <w:jc w:val="left"/>
            </w:pPr>
          </w:p>
        </w:tc>
        <w:tc>
          <w:tcPr>
            <w:vMerge w:val="continue"/>
            <w:tcBorders>
              <w:top w:val="nil"/>
              <w:left w:val="single" w:sz="8" w:color="000000"/>
              <w:bottom w:val="single" w:sz="8" w:color="000000"/>
              <w:right w:val="single" w:sz="8" w:color="000000"/>
            </w:tcBorders>
            <w:vAlign w:val="center"/>
          </w:tcPr>
          <w:p>
            <w:pPr>
              <w:bidi w:val="0"/>
              <w:spacing w:before="0" w:after="160" w:line="259" w:lineRule="auto"/>
              <w:ind w:left="0" w:right="0" w:firstLine="0"/>
              <w:jc w:val="left"/>
            </w:pPr>
          </w:p>
        </w:tc>
        <w:tc>
          <w:tcPr>
            <w:gridSpan w:val="2"/>
            <w:vMerge w:val="continue"/>
            <w:tcBorders>
              <w:top w:val="nil"/>
              <w:left w:val="single" w:sz="8" w:color="000000"/>
              <w:bottom w:val="single" w:sz="8" w:color="000000"/>
              <w:right w:val="single" w:sz="8" w:color="000000"/>
            </w:tcBorders>
            <w:vAlign w:val="bottom"/>
          </w:tcPr>
          <w:p>
            <w:pPr>
              <w:bidi w:val="0"/>
              <w:spacing w:before="0" w:after="160" w:line="259" w:lineRule="auto"/>
              <w:ind w:left="0" w:right="0" w:firstLine="0"/>
              <w:jc w:val="left"/>
            </w:pPr>
          </w:p>
        </w:tc>
      </w:tr>
      <w:tr>
        <w:trPr>
          <w:trHeight w:val="2311" w:hRule="atLeast"/>
        </w:trPr>
        <w:tc>
          <w:tcPr>
            <w:tcW w:w="2212" w:type="dxa"/>
            <w:gridSpan w:val="2"/>
            <w:tcBorders>
              <w:top w:val="single" w:sz="8" w:color="000000"/>
              <w:left w:val="single" w:sz="8" w:color="000000"/>
              <w:bottom w:val="single" w:sz="8" w:color="000000"/>
              <w:right w:val="single" w:sz="8" w:color="000000"/>
            </w:tcBorders>
            <w:vAlign w:val="top"/>
          </w:tcPr>
          <w:p>
            <w:pPr>
              <w:spacing w:before="0" w:after="0" w:line="259" w:lineRule="auto"/>
              <w:ind w:left="1193" w:right="0" w:firstLine="0"/>
              <w:jc w:val="left"/>
            </w:pPr>
            <w:r>
              <w:rPr>
                <w:rFonts w:cs="Calibri" w:hAnsi="Calibri" w:eastAsia="Calibri" w:ascii="Calibri"/>
                <w:sz w:val="22"/>
              </w:rPr>
              <w:drawing>
                <wp:inline distT="0" distB="0" distL="0" distR="0">
                  <wp:extent cx="12186" cy="1453890"/>
                  <wp:docPr id="107712" name="Group 107712"/>
                  <wp:cNvGraphicFramePr/>
                  <a:graphic>
                    <a:graphicData uri="http://schemas.microsoft.com/office/word/2010/wordprocessingGroup">
                      <wpg:wgp>
                        <wpg:cNvGrpSpPr/>
                        <wpg:grpSpPr>
                          <a:xfrm>
                            <a:off x="0" y="0"/>
                            <a:ext cx="12186" cy="1453890"/>
                            <a:chOff x="0" y="0"/>
                            <a:chExt cx="12186" cy="1453890"/>
                          </a:xfrm>
                        </wpg:grpSpPr>
                        <wps:wsp>
                          <wps:cNvPr id="110444" name="Shape 110444"/>
                          <wps:cNvSpPr/>
                          <wps:spPr>
                            <a:xfrm>
                              <a:off x="0" y="0"/>
                              <a:ext cx="12186" cy="1453890"/>
                            </a:xfrm>
                            <a:custGeom>
                              <a:pathLst>
                                <a:path w="12186" h="1453890">
                                  <a:moveTo>
                                    <a:pt x="0" y="0"/>
                                  </a:moveTo>
                                  <a:lnTo>
                                    <a:pt x="12186" y="0"/>
                                  </a:lnTo>
                                  <a:lnTo>
                                    <a:pt x="12186" y="1453890"/>
                                  </a:lnTo>
                                  <a:lnTo>
                                    <a:pt x="0" y="1453890"/>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w:r>
          </w:p>
        </w:tc>
        <w:tc>
          <w:tcPr>
            <w:tcW w:w="1134" w:type="dxa"/>
            <w:tcBorders>
              <w:top w:val="single" w:sz="8" w:color="000000"/>
              <w:left w:val="single" w:sz="8" w:color="000000"/>
              <w:bottom w:val="single" w:sz="8" w:color="000000"/>
              <w:right w:val="single" w:sz="8" w:color="000000"/>
            </w:tcBorders>
            <w:vAlign w:val="center"/>
          </w:tcPr>
          <w:p>
            <w:pPr>
              <w:bidi w:val="0"/>
              <w:spacing w:before="0" w:after="160" w:line="259" w:lineRule="auto"/>
              <w:ind w:left="0" w:right="0" w:firstLine="0"/>
              <w:jc w:val="left"/>
            </w:pPr>
          </w:p>
        </w:tc>
        <w:tc>
          <w:tcPr>
            <w:tcW w:w="1726" w:type="dxa"/>
            <w:tcBorders>
              <w:top w:val="single" w:sz="8" w:color="000000"/>
              <w:left w:val="single" w:sz="8" w:color="000000"/>
              <w:bottom w:val="single" w:sz="8" w:color="000000"/>
              <w:right w:val="single" w:sz="8" w:color="000000"/>
            </w:tcBorders>
            <w:vAlign w:val="top"/>
          </w:tcPr>
          <w:p>
            <w:pPr>
              <w:spacing w:before="0" w:after="0" w:line="239" w:lineRule="auto"/>
              <w:ind w:left="468" w:right="0" w:firstLine="0"/>
              <w:jc w:val="left"/>
            </w:pPr>
            <w:r>
              <w:rPr>
                <w:rFonts w:cs="Times New Roman" w:hAnsi="Times New Roman" w:eastAsia="Times New Roman" w:ascii="Times New Roman"/>
                <w:sz w:val="18"/>
              </w:rPr>
              <w:t xml:space="preserve">represented in sector activities within the </w:t>
            </w:r>
          </w:p>
          <w:p>
            <w:pPr>
              <w:spacing w:before="0" w:after="0" w:line="259" w:lineRule="auto"/>
              <w:ind w:left="468" w:right="0" w:firstLine="0"/>
              <w:jc w:val="left"/>
            </w:pPr>
            <w:r>
              <w:rPr>
                <w:rFonts w:cs="Times New Roman" w:hAnsi="Times New Roman" w:eastAsia="Times New Roman" w:ascii="Times New Roman"/>
                <w:sz w:val="18"/>
              </w:rPr>
              <w:t xml:space="preserve">project </w:t>
            </w:r>
          </w:p>
          <w:p>
            <w:pPr>
              <w:spacing w:before="0" w:after="0" w:line="259" w:lineRule="auto"/>
              <w:ind w:left="0" w:right="25" w:firstLine="0"/>
              <w:jc w:val="center"/>
            </w:pPr>
            <w:r>
              <w:rPr>
                <w:rFonts w:cs="Times New Roman" w:hAnsi="Times New Roman" w:eastAsia="Times New Roman" w:ascii="Times New Roman"/>
                <w:sz w:val="18"/>
              </w:rPr>
              <w:t xml:space="preserve"> </w:t>
            </w:r>
          </w:p>
        </w:tc>
        <w:tc>
          <w:tcPr>
            <w:tcW w:w="967" w:type="dxa"/>
            <w:tcBorders>
              <w:top w:val="single" w:sz="8" w:color="000000"/>
              <w:left w:val="single" w:sz="8" w:color="000000"/>
              <w:bottom w:val="single" w:sz="8" w:color="000000"/>
              <w:right w:val="single" w:sz="8" w:color="000000"/>
            </w:tcBorders>
            <w:vAlign w:val="top"/>
          </w:tcPr>
          <w:p>
            <w:pPr>
              <w:bidi w:val="0"/>
              <w:spacing w:before="0" w:after="160" w:line="259" w:lineRule="auto"/>
              <w:ind w:left="0" w:right="0" w:firstLine="0"/>
              <w:jc w:val="left"/>
            </w:pPr>
          </w:p>
        </w:tc>
        <w:tc>
          <w:tcPr>
            <w:tcW w:w="2551" w:type="dxa"/>
            <w:tcBorders>
              <w:top w:val="single" w:sz="8" w:color="000000"/>
              <w:left w:val="single" w:sz="8" w:color="000000"/>
              <w:bottom w:val="single" w:sz="8" w:color="000000"/>
              <w:right w:val="single" w:sz="8" w:color="000000"/>
            </w:tcBorders>
            <w:vAlign w:val="top"/>
          </w:tcPr>
          <w:p>
            <w:pPr>
              <w:spacing w:before="0" w:after="2" w:line="238" w:lineRule="auto"/>
              <w:ind w:left="468" w:right="0" w:firstLine="0"/>
            </w:pPr>
            <w:r>
              <w:rPr>
                <w:rFonts w:cs="Times New Roman" w:hAnsi="Times New Roman" w:eastAsia="Times New Roman" w:ascii="Times New Roman"/>
                <w:sz w:val="18"/>
              </w:rPr>
              <w:t xml:space="preserve">women in the democratic governance sector </w:t>
            </w:r>
          </w:p>
          <w:p>
            <w:pPr>
              <w:spacing w:before="0" w:after="0" w:line="238" w:lineRule="auto"/>
              <w:ind w:left="468" w:right="0" w:firstLine="0"/>
              <w:jc w:val="left"/>
            </w:pPr>
            <w:r>
              <w:rPr>
                <w:rFonts w:cs="Times New Roman" w:hAnsi="Times New Roman" w:eastAsia="Times New Roman" w:ascii="Times New Roman"/>
                <w:sz w:val="18"/>
              </w:rPr>
              <w:t xml:space="preserve">activities due to limited number of women </w:t>
            </w:r>
          </w:p>
          <w:p>
            <w:pPr>
              <w:spacing w:before="0" w:after="0" w:line="259" w:lineRule="auto"/>
              <w:ind w:left="468" w:right="0" w:firstLine="0"/>
              <w:jc w:val="left"/>
            </w:pPr>
            <w:r>
              <w:rPr>
                <w:rFonts w:cs="Times New Roman" w:hAnsi="Times New Roman" w:eastAsia="Times New Roman" w:ascii="Times New Roman"/>
                <w:sz w:val="18"/>
              </w:rPr>
              <w:t xml:space="preserve">practitioners in the sector </w:t>
            </w:r>
          </w:p>
        </w:tc>
        <w:tc>
          <w:tcPr>
            <w:tcW w:w="1702" w:type="dxa"/>
            <w:tcBorders>
              <w:top w:val="single" w:sz="8" w:color="000000"/>
              <w:left w:val="single" w:sz="8" w:color="000000"/>
              <w:bottom w:val="single" w:sz="8" w:color="000000"/>
              <w:right w:val="single" w:sz="8" w:color="000000"/>
            </w:tcBorders>
            <w:vAlign w:val="top"/>
          </w:tcPr>
          <w:p>
            <w:pPr>
              <w:bidi w:val="0"/>
              <w:spacing w:before="0" w:after="160" w:line="259" w:lineRule="auto"/>
              <w:ind w:left="0" w:right="0" w:firstLine="0"/>
              <w:jc w:val="left"/>
            </w:pPr>
          </w:p>
        </w:tc>
        <w:tc>
          <w:tcPr>
            <w:tcW w:w="1702" w:type="dxa"/>
            <w:tcBorders>
              <w:top w:val="single" w:sz="8" w:color="000000"/>
              <w:left w:val="single" w:sz="8" w:color="000000"/>
              <w:bottom w:val="single" w:sz="8" w:color="000000"/>
              <w:right w:val="single" w:sz="8" w:color="000000"/>
            </w:tcBorders>
            <w:vAlign w:val="top"/>
          </w:tcPr>
          <w:p>
            <w:pPr>
              <w:spacing w:before="0" w:after="70" w:line="238" w:lineRule="auto"/>
              <w:ind w:left="468" w:right="0" w:firstLine="0"/>
              <w:jc w:val="left"/>
            </w:pPr>
            <w:r>
              <w:rPr>
                <w:rFonts w:cs="Times New Roman" w:hAnsi="Times New Roman" w:eastAsia="Times New Roman" w:ascii="Times New Roman"/>
                <w:sz w:val="18"/>
              </w:rPr>
              <w:t xml:space="preserve">implementing the project </w:t>
            </w:r>
          </w:p>
          <w:p>
            <w:pPr>
              <w:tabs>
                <w:tab w:val="center" w:pos="149"/>
                <w:tab w:val="center" w:pos="749"/>
              </w:tabs>
              <w:spacing w:before="0" w:after="0" w:line="259" w:lineRule="auto"/>
              <w:ind w:left="0" w:right="0" w:firstLine="0"/>
              <w:jc w:val="left"/>
            </w:pPr>
            <w:r>
              <w:rPr>
                <w:rFonts w:cs="Calibri" w:hAnsi="Calibri" w:eastAsia="Calibri" w:ascii="Calibri"/>
                <w:sz w:val="22"/>
              </w:rPr>
              <w:t xml:space="preserve">	</w:t>
            </w:r>
            <w:r>
              <w:rPr>
                <w:rFonts w:cs="Segoe UI Symbol" w:hAnsi="Segoe UI Symbol" w:eastAsia="Segoe UI Symbol" w:ascii="Segoe UI Symbol"/>
                <w:sz w:val="28"/>
                <w:vertAlign w:val="superscript"/>
              </w:rPr>
              <w:t xml:space="preserve">•</w:t>
            </w:r>
            <w:r>
              <w:rPr>
                <w:rFonts w:cs="Arial" w:hAnsi="Arial" w:eastAsia="Arial" w:ascii="Arial"/>
                <w:sz w:val="18"/>
              </w:rPr>
              <w:t xml:space="preserve"> 	</w:t>
            </w:r>
            <w:r>
              <w:rPr>
                <w:rFonts w:cs="Times New Roman" w:hAnsi="Times New Roman" w:eastAsia="Times New Roman" w:ascii="Times New Roman"/>
                <w:sz w:val="18"/>
              </w:rPr>
              <w:t xml:space="preserve">Provide </w:t>
            </w:r>
          </w:p>
          <w:p>
            <w:pPr>
              <w:spacing w:before="0" w:after="2" w:line="238" w:lineRule="auto"/>
              <w:ind w:left="468" w:right="55" w:firstLine="0"/>
              <w:jc w:val="left"/>
            </w:pPr>
            <w:r>
              <w:rPr>
                <w:rFonts w:cs="Times New Roman" w:hAnsi="Times New Roman" w:eastAsia="Times New Roman" w:ascii="Times New Roman"/>
                <w:sz w:val="18"/>
              </w:rPr>
              <w:t xml:space="preserve">support to ensure equitable representation of women in democratic </w:t>
            </w:r>
          </w:p>
          <w:p>
            <w:pPr>
              <w:spacing w:before="0" w:after="0" w:line="259" w:lineRule="auto"/>
              <w:ind w:left="63" w:right="0" w:firstLine="0"/>
              <w:jc w:val="center"/>
            </w:pPr>
            <w:r>
              <w:rPr>
                <w:rFonts w:cs="Times New Roman" w:hAnsi="Times New Roman" w:eastAsia="Times New Roman" w:ascii="Times New Roman"/>
                <w:sz w:val="18"/>
              </w:rPr>
              <w:t xml:space="preserve">governance </w:t>
            </w:r>
          </w:p>
          <w:p>
            <w:pPr>
              <w:spacing w:before="0" w:after="0" w:line="259" w:lineRule="auto"/>
              <w:ind w:left="0" w:right="110" w:firstLine="0"/>
              <w:jc w:val="right"/>
            </w:pPr>
            <w:r>
              <w:rPr>
                <w:rFonts w:cs="Times New Roman" w:hAnsi="Times New Roman" w:eastAsia="Times New Roman" w:ascii="Times New Roman"/>
                <w:sz w:val="18"/>
              </w:rPr>
              <w:t xml:space="preserve">sector activities </w:t>
            </w:r>
          </w:p>
        </w:tc>
        <w:tc>
          <w:tcPr>
            <w:tcW w:w="1698" w:type="dxa"/>
            <w:gridSpan w:val="2"/>
            <w:tcBorders>
              <w:top w:val="single" w:sz="8" w:color="000000"/>
              <w:left w:val="single" w:sz="8" w:color="000000"/>
              <w:bottom w:val="single" w:sz="8" w:color="000000"/>
              <w:right w:val="single" w:sz="8" w:color="000000"/>
            </w:tcBorders>
            <w:vAlign w:val="center"/>
          </w:tcPr>
          <w:p>
            <w:pPr>
              <w:bidi w:val="0"/>
              <w:spacing w:before="0" w:after="160" w:line="259" w:lineRule="auto"/>
              <w:ind w:left="0" w:right="0" w:firstLine="0"/>
              <w:jc w:val="left"/>
            </w:pPr>
          </w:p>
        </w:tc>
      </w:tr>
      <w:tr>
        <w:trPr>
          <w:trHeight w:val="228" w:hRule="atLeast"/>
        </w:trPr>
        <w:tc>
          <w:tcPr>
            <w:tcW w:w="11993" w:type="dxa"/>
            <w:gridSpan w:val="8"/>
            <w:tcBorders>
              <w:top w:val="single" w:sz="8" w:color="000000"/>
              <w:left w:val="single" w:sz="8" w:color="000000"/>
              <w:bottom w:val="single" w:sz="8" w:color="000000"/>
              <w:right w:val="nil"/>
            </w:tcBorders>
            <w:vAlign w:val="top"/>
          </w:tcPr>
          <w:p>
            <w:pPr>
              <w:tabs>
                <w:tab w:val="center" w:pos="174"/>
                <w:tab w:val="center" w:pos="1429"/>
              </w:tabs>
              <w:spacing w:before="0" w:after="0" w:line="259" w:lineRule="auto"/>
              <w:ind w:left="0" w:right="0" w:firstLine="0"/>
              <w:jc w:val="left"/>
            </w:pPr>
            <w:r>
              <w:rPr>
                <w:rFonts w:cs="Calibri" w:hAnsi="Calibri" w:eastAsia="Calibri" w:ascii="Calibri"/>
                <w:sz w:val="22"/>
              </w:rPr>
              <w:t xml:space="preserve">	</w:t>
            </w:r>
            <w:r>
              <w:rPr>
                <w:rFonts w:cs="Times New Roman" w:hAnsi="Times New Roman" w:eastAsia="Times New Roman" w:ascii="Times New Roman"/>
                <w:b w:val="1"/>
                <w:sz w:val="18"/>
              </w:rPr>
              <w:t xml:space="preserve">2.</w:t>
            </w:r>
            <w:r>
              <w:rPr>
                <w:rFonts w:cs="Arial" w:hAnsi="Arial" w:eastAsia="Arial" w:ascii="Arial"/>
                <w:b w:val="1"/>
                <w:sz w:val="28"/>
                <w:vertAlign w:val="superscript"/>
              </w:rPr>
              <w:t xml:space="preserve"> 	</w:t>
            </w:r>
            <w:r>
              <w:rPr>
                <w:rFonts w:cs="Times New Roman" w:hAnsi="Times New Roman" w:eastAsia="Times New Roman" w:ascii="Times New Roman"/>
                <w:b w:val="1"/>
                <w:sz w:val="18"/>
              </w:rPr>
              <w:t xml:space="preserve">OPERATIONAL RISKS </w:t>
            </w:r>
          </w:p>
        </w:tc>
        <w:tc>
          <w:tcPr>
            <w:tcW w:w="1698" w:type="dxa"/>
            <w:gridSpan w:val="2"/>
            <w:tcBorders>
              <w:top w:val="single" w:sz="8" w:color="000000"/>
              <w:left w:val="nil"/>
              <w:bottom w:val="single" w:sz="8" w:color="000000"/>
              <w:right w:val="single" w:sz="8" w:color="000000"/>
            </w:tcBorders>
            <w:vAlign w:val="center"/>
          </w:tcPr>
          <w:p>
            <w:pPr>
              <w:bidi w:val="0"/>
              <w:spacing w:before="0" w:after="160" w:line="259" w:lineRule="auto"/>
              <w:ind w:left="0" w:right="0" w:firstLine="0"/>
              <w:jc w:val="left"/>
            </w:pPr>
          </w:p>
        </w:tc>
      </w:tr>
      <w:tr>
        <w:trPr>
          <w:trHeight w:val="1481" w:hRule="atLeast"/>
        </w:trPr>
        <w:tc>
          <w:tcPr>
            <w:tcW w:w="1438" w:type="dxa"/>
            <w:tcBorders>
              <w:top w:val="single" w:sz="8" w:color="000000"/>
              <w:left w:val="single" w:sz="8" w:color="000000"/>
              <w:bottom w:val="single" w:sz="8" w:color="000000"/>
              <w:right w:val="single" w:sz="8" w:color="000000"/>
            </w:tcBorders>
            <w:vAlign w:val="top"/>
          </w:tcPr>
          <w:p>
            <w:pPr>
              <w:spacing w:before="0" w:after="0" w:line="259" w:lineRule="auto"/>
              <w:ind w:left="106" w:right="0" w:firstLine="0"/>
              <w:jc w:val="left"/>
            </w:pPr>
            <w:r>
              <w:rPr>
                <w:rFonts w:cs="Times New Roman" w:hAnsi="Times New Roman" w:eastAsia="Times New Roman" w:ascii="Times New Roman"/>
                <w:sz w:val="18"/>
              </w:rPr>
              <w:t xml:space="preserve">Procurement  </w:t>
            </w:r>
          </w:p>
        </w:tc>
        <w:tc>
          <w:tcPr>
            <w:tcW w:w="774" w:type="dxa"/>
            <w:tcBorders>
              <w:top w:val="single" w:sz="8" w:color="000000"/>
              <w:left w:val="single" w:sz="8" w:color="000000"/>
              <w:bottom w:val="single" w:sz="8" w:color="000000"/>
              <w:right w:val="single" w:sz="8" w:color="000000"/>
            </w:tcBorders>
            <w:vAlign w:val="top"/>
          </w:tcPr>
          <w:p>
            <w:pPr>
              <w:spacing w:before="0" w:after="0" w:line="259" w:lineRule="auto"/>
              <w:ind w:left="108" w:right="0" w:firstLine="0"/>
              <w:jc w:val="left"/>
            </w:pPr>
            <w:r>
              <w:rPr>
                <w:rFonts w:cs="Times New Roman" w:hAnsi="Times New Roman" w:eastAsia="Times New Roman" w:ascii="Times New Roman"/>
                <w:sz w:val="18"/>
              </w:rPr>
              <w:t xml:space="preserve">March </w:t>
            </w:r>
          </w:p>
          <w:p>
            <w:pPr>
              <w:spacing w:before="0" w:after="0" w:line="240" w:lineRule="auto"/>
              <w:ind w:left="108" w:right="55" w:firstLine="0"/>
              <w:jc w:val="left"/>
            </w:pPr>
            <w:r>
              <w:rPr>
                <w:rFonts w:cs="Times New Roman" w:hAnsi="Times New Roman" w:eastAsia="Times New Roman" w:ascii="Times New Roman"/>
                <w:sz w:val="18"/>
              </w:rPr>
              <w:t xml:space="preserve">to April. </w:t>
            </w:r>
          </w:p>
          <w:p>
            <w:pPr>
              <w:spacing w:before="0" w:after="0" w:line="259" w:lineRule="auto"/>
              <w:ind w:left="108" w:right="0" w:firstLine="0"/>
              <w:jc w:val="left"/>
            </w:pPr>
            <w:r>
              <w:rPr>
                <w:rFonts w:cs="Times New Roman" w:hAnsi="Times New Roman" w:eastAsia="Times New Roman" w:ascii="Times New Roman"/>
                <w:sz w:val="18"/>
              </w:rPr>
              <w:t xml:space="preserve">2011 </w:t>
            </w:r>
          </w:p>
        </w:tc>
        <w:tc>
          <w:tcPr>
            <w:tcW w:w="1134" w:type="dxa"/>
            <w:tcBorders>
              <w:top w:val="single" w:sz="8" w:color="000000"/>
              <w:left w:val="single" w:sz="8" w:color="000000"/>
              <w:bottom w:val="single" w:sz="8" w:color="000000"/>
              <w:right w:val="single" w:sz="8" w:color="000000"/>
            </w:tcBorders>
            <w:vAlign w:val="top"/>
          </w:tcPr>
          <w:p>
            <w:pPr>
              <w:spacing w:before="0" w:after="0" w:line="259" w:lineRule="auto"/>
              <w:ind w:left="107" w:right="0" w:firstLine="0"/>
              <w:jc w:val="left"/>
            </w:pPr>
            <w:r>
              <w:rPr>
                <w:rFonts w:cs="Times New Roman" w:hAnsi="Times New Roman" w:eastAsia="Times New Roman" w:ascii="Times New Roman"/>
                <w:sz w:val="18"/>
              </w:rPr>
              <w:t xml:space="preserve">MoJ, UNDP </w:t>
            </w:r>
          </w:p>
        </w:tc>
        <w:tc>
          <w:tcPr>
            <w:tcW w:w="1726" w:type="dxa"/>
            <w:tcBorders>
              <w:top w:val="single" w:sz="8" w:color="000000"/>
              <w:left w:val="single" w:sz="8" w:color="000000"/>
              <w:bottom w:val="single" w:sz="8" w:color="000000"/>
              <w:right w:val="single" w:sz="8" w:color="000000"/>
            </w:tcBorders>
            <w:vAlign w:val="top"/>
          </w:tcPr>
          <w:p>
            <w:pPr>
              <w:spacing w:before="0" w:after="0" w:line="259" w:lineRule="auto"/>
              <w:ind w:left="108" w:right="0" w:firstLine="0"/>
              <w:jc w:val="left"/>
            </w:pPr>
            <w:r>
              <w:rPr>
                <w:rFonts w:cs="Times New Roman" w:hAnsi="Times New Roman" w:eastAsia="Times New Roman" w:ascii="Times New Roman"/>
                <w:sz w:val="18"/>
              </w:rPr>
              <w:t xml:space="preserve">1. Donor to release sufficient funding in accordance with the scheduled timeframe </w:t>
            </w:r>
          </w:p>
        </w:tc>
        <w:tc>
          <w:tcPr>
            <w:tcW w:w="967" w:type="dxa"/>
            <w:tcBorders>
              <w:top w:val="single" w:sz="8" w:color="000000"/>
              <w:left w:val="single" w:sz="8" w:color="000000"/>
              <w:bottom w:val="single" w:sz="8" w:color="000000"/>
              <w:right w:val="single" w:sz="8" w:color="000000"/>
            </w:tcBorders>
            <w:vAlign w:val="top"/>
          </w:tcPr>
          <w:p>
            <w:pPr>
              <w:spacing w:before="0" w:after="0" w:line="259" w:lineRule="auto"/>
              <w:ind w:left="108" w:right="0" w:firstLine="0"/>
              <w:jc w:val="left"/>
            </w:pPr>
            <w:r>
              <w:rPr>
                <w:rFonts w:cs="Times New Roman" w:hAnsi="Times New Roman" w:eastAsia="Times New Roman" w:ascii="Times New Roman"/>
                <w:sz w:val="18"/>
              </w:rPr>
              <w:t xml:space="preserve">March to </w:t>
            </w:r>
          </w:p>
          <w:p>
            <w:pPr>
              <w:spacing w:before="0" w:after="0" w:line="259" w:lineRule="auto"/>
              <w:ind w:left="108" w:right="0" w:firstLine="0"/>
              <w:jc w:val="left"/>
            </w:pPr>
            <w:r>
              <w:rPr>
                <w:rFonts w:cs="Times New Roman" w:hAnsi="Times New Roman" w:eastAsia="Times New Roman" w:ascii="Times New Roman"/>
                <w:sz w:val="18"/>
              </w:rPr>
              <w:t xml:space="preserve">April, </w:t>
            </w:r>
          </w:p>
          <w:p>
            <w:pPr>
              <w:spacing w:before="0" w:after="0" w:line="259" w:lineRule="auto"/>
              <w:ind w:left="108" w:right="0" w:firstLine="0"/>
              <w:jc w:val="left"/>
            </w:pPr>
            <w:r>
              <w:rPr>
                <w:rFonts w:cs="Times New Roman" w:hAnsi="Times New Roman" w:eastAsia="Times New Roman" w:ascii="Times New Roman"/>
                <w:sz w:val="18"/>
              </w:rPr>
              <w:t xml:space="preserve">2011 </w:t>
            </w:r>
          </w:p>
        </w:tc>
        <w:tc>
          <w:tcPr>
            <w:tcW w:w="2551" w:type="dxa"/>
            <w:tcBorders>
              <w:top w:val="single" w:sz="8" w:color="000000"/>
              <w:left w:val="single" w:sz="8" w:color="000000"/>
              <w:bottom w:val="single" w:sz="8" w:color="000000"/>
              <w:right w:val="single" w:sz="8" w:color="000000"/>
            </w:tcBorders>
            <w:vAlign w:val="top"/>
          </w:tcPr>
          <w:p>
            <w:pPr>
              <w:spacing w:before="0" w:after="0" w:line="259" w:lineRule="auto"/>
              <w:ind w:left="108" w:right="0" w:firstLine="0"/>
              <w:jc w:val="left"/>
            </w:pPr>
            <w:r>
              <w:rPr>
                <w:rFonts w:cs="Times New Roman" w:hAnsi="Times New Roman" w:eastAsia="Times New Roman" w:ascii="Times New Roman"/>
                <w:sz w:val="18"/>
              </w:rPr>
              <w:t xml:space="preserve">Delayed procurement will result delays in the implementation of the project </w:t>
            </w:r>
          </w:p>
        </w:tc>
        <w:tc>
          <w:tcPr>
            <w:tcW w:w="1702" w:type="dxa"/>
            <w:tcBorders>
              <w:top w:val="single" w:sz="8" w:color="000000"/>
              <w:left w:val="single" w:sz="8" w:color="000000"/>
              <w:bottom w:val="single" w:sz="8" w:color="000000"/>
              <w:right w:val="single" w:sz="8" w:color="000000"/>
            </w:tcBorders>
            <w:vAlign w:val="top"/>
          </w:tcPr>
          <w:p>
            <w:pPr>
              <w:spacing w:before="0" w:after="0" w:line="259" w:lineRule="auto"/>
              <w:ind w:left="108" w:right="0" w:firstLine="0"/>
              <w:jc w:val="left"/>
            </w:pPr>
            <w:r>
              <w:rPr>
                <w:rFonts w:cs="Times New Roman" w:hAnsi="Times New Roman" w:eastAsia="Times New Roman" w:ascii="Times New Roman"/>
                <w:sz w:val="18"/>
              </w:rPr>
              <w:t xml:space="preserve">High </w:t>
            </w:r>
          </w:p>
        </w:tc>
        <w:tc>
          <w:tcPr>
            <w:tcW w:w="1702" w:type="dxa"/>
            <w:tcBorders>
              <w:top w:val="single" w:sz="8" w:color="000000"/>
              <w:left w:val="single" w:sz="8" w:color="000000"/>
              <w:bottom w:val="single" w:sz="8" w:color="000000"/>
              <w:right w:val="nil"/>
            </w:tcBorders>
            <w:vAlign w:val="top"/>
          </w:tcPr>
          <w:p>
            <w:pPr>
              <w:spacing w:before="0" w:after="0" w:line="241" w:lineRule="auto"/>
              <w:ind w:left="127" w:right="-26" w:hanging="127"/>
              <w:jc w:val="right"/>
            </w:pPr>
            <w:r>
              <w:rPr>
                <w:rFonts w:cs="Segoe UI Symbol" w:hAnsi="Segoe UI Symbol" w:eastAsia="Segoe UI Symbol" w:ascii="Segoe UI Symbol"/>
                <w:sz w:val="28"/>
                <w:vertAlign w:val="superscript"/>
              </w:rPr>
              <w:t xml:space="preserve">•</w:t>
            </w:r>
            <w:r>
              <w:rPr>
                <w:rFonts w:cs="Arial" w:hAnsi="Arial" w:eastAsia="Arial" w:ascii="Arial"/>
                <w:sz w:val="28"/>
                <w:vertAlign w:val="superscript"/>
              </w:rPr>
              <w:t xml:space="preserve"> 	</w:t>
            </w:r>
            <w:r>
              <w:rPr>
                <w:rFonts w:cs="Times New Roman" w:hAnsi="Times New Roman" w:eastAsia="Times New Roman" w:ascii="Times New Roman"/>
                <w:sz w:val="18"/>
              </w:rPr>
              <w:t xml:space="preserve">Ensure  that donor and UNDP demonstrate stri adherence to procurement </w:t>
            </w:r>
          </w:p>
          <w:p>
            <w:pPr>
              <w:spacing w:before="0" w:after="0" w:line="259" w:lineRule="auto"/>
              <w:ind w:left="0" w:right="107" w:firstLine="0"/>
              <w:jc w:val="center"/>
            </w:pPr>
            <w:r>
              <w:rPr>
                <w:rFonts w:cs="Times New Roman" w:hAnsi="Times New Roman" w:eastAsia="Times New Roman" w:ascii="Times New Roman"/>
                <w:sz w:val="18"/>
              </w:rPr>
              <w:t xml:space="preserve">timelines </w:t>
            </w:r>
          </w:p>
          <w:p>
            <w:pPr>
              <w:spacing w:before="0" w:after="0" w:line="259" w:lineRule="auto"/>
              <w:ind w:left="0" w:right="1" w:firstLine="0"/>
              <w:jc w:val="center"/>
            </w:pPr>
            <w:r>
              <w:rPr>
                <w:rFonts w:cs="Times New Roman" w:hAnsi="Times New Roman" w:eastAsia="Times New Roman" w:ascii="Times New Roman"/>
                <w:sz w:val="18"/>
              </w:rPr>
              <w:t xml:space="preserve"> </w:t>
            </w:r>
          </w:p>
        </w:tc>
        <w:tc>
          <w:tcPr>
            <w:tcW w:w="190" w:type="dxa"/>
            <w:tcBorders>
              <w:top w:val="single" w:sz="8" w:color="000000"/>
              <w:left w:val="nil"/>
              <w:bottom w:val="single" w:sz="8" w:color="000000"/>
              <w:right w:val="single" w:sz="8" w:color="000000"/>
            </w:tcBorders>
            <w:vAlign w:val="top"/>
          </w:tcPr>
          <w:p>
            <w:pPr>
              <w:spacing w:before="0" w:after="0" w:line="259" w:lineRule="auto"/>
              <w:ind w:left="-79" w:right="0" w:firstLine="0"/>
              <w:jc w:val="left"/>
            </w:pPr>
            <w:r>
              <w:rPr>
                <w:rFonts w:cs="Times New Roman" w:hAnsi="Times New Roman" w:eastAsia="Times New Roman" w:ascii="Times New Roman"/>
                <w:sz w:val="18"/>
              </w:rPr>
              <w:t xml:space="preserve">ct </w:t>
            </w:r>
          </w:p>
        </w:tc>
        <w:tc>
          <w:tcPr>
            <w:tcW w:w="1508" w:type="dxa"/>
            <w:tcBorders>
              <w:top w:val="single" w:sz="8" w:color="000000"/>
              <w:left w:val="single" w:sz="8" w:color="000000"/>
              <w:bottom w:val="single" w:sz="8" w:color="000000"/>
              <w:right w:val="single" w:sz="8" w:color="000000"/>
            </w:tcBorders>
            <w:vAlign w:val="top"/>
          </w:tcPr>
          <w:p>
            <w:pPr>
              <w:spacing w:before="0" w:after="0" w:line="259" w:lineRule="auto"/>
              <w:ind w:left="106" w:right="0" w:firstLine="0"/>
              <w:jc w:val="left"/>
            </w:pPr>
            <w:r>
              <w:rPr>
                <w:rFonts w:cs="Times New Roman" w:hAnsi="Times New Roman" w:eastAsia="Times New Roman" w:ascii="Times New Roman"/>
                <w:sz w:val="18"/>
              </w:rPr>
              <w:t xml:space="preserve"> </w:t>
            </w:r>
          </w:p>
        </w:tc>
      </w:tr>
      <w:tr>
        <w:trPr>
          <w:trHeight w:val="1262" w:hRule="atLeast"/>
        </w:trPr>
        <w:tc>
          <w:tcPr>
            <w:tcW w:w="1438" w:type="dxa"/>
            <w:tcBorders>
              <w:top w:val="single" w:sz="8" w:color="000000"/>
              <w:left w:val="single" w:sz="8" w:color="000000"/>
              <w:bottom w:val="single" w:sz="8" w:color="000000"/>
              <w:right w:val="single" w:sz="8" w:color="000000"/>
            </w:tcBorders>
            <w:vAlign w:val="top"/>
          </w:tcPr>
          <w:p>
            <w:pPr>
              <w:spacing w:before="0" w:after="0" w:line="259" w:lineRule="auto"/>
              <w:ind w:left="106" w:right="0" w:firstLine="0"/>
              <w:jc w:val="left"/>
            </w:pPr>
            <w:r>
              <w:rPr>
                <w:rFonts w:cs="Times New Roman" w:hAnsi="Times New Roman" w:eastAsia="Times New Roman" w:ascii="Times New Roman"/>
                <w:sz w:val="18"/>
              </w:rPr>
              <w:t xml:space="preserve"> </w:t>
            </w:r>
          </w:p>
        </w:tc>
        <w:tc>
          <w:tcPr>
            <w:tcW w:w="774" w:type="dxa"/>
            <w:tcBorders>
              <w:top w:val="single" w:sz="8" w:color="000000"/>
              <w:left w:val="single" w:sz="8" w:color="000000"/>
              <w:bottom w:val="single" w:sz="8" w:color="000000"/>
              <w:right w:val="single" w:sz="8" w:color="000000"/>
            </w:tcBorders>
            <w:vAlign w:val="top"/>
          </w:tcPr>
          <w:p>
            <w:pPr>
              <w:spacing w:before="0" w:after="0" w:line="259" w:lineRule="auto"/>
              <w:ind w:left="108" w:right="0" w:firstLine="0"/>
              <w:jc w:val="left"/>
            </w:pPr>
            <w:r>
              <w:rPr>
                <w:rFonts w:cs="Times New Roman" w:hAnsi="Times New Roman" w:eastAsia="Times New Roman" w:ascii="Times New Roman"/>
                <w:sz w:val="18"/>
              </w:rPr>
              <w:t xml:space="preserve"> </w:t>
            </w:r>
          </w:p>
        </w:tc>
        <w:tc>
          <w:tcPr>
            <w:tcW w:w="1134" w:type="dxa"/>
            <w:tcBorders>
              <w:top w:val="single" w:sz="8" w:color="000000"/>
              <w:left w:val="single" w:sz="8" w:color="000000"/>
              <w:bottom w:val="single" w:sz="8" w:color="000000"/>
              <w:right w:val="single" w:sz="8" w:color="000000"/>
            </w:tcBorders>
            <w:vAlign w:val="top"/>
          </w:tcPr>
          <w:p>
            <w:pPr>
              <w:spacing w:before="0" w:after="0" w:line="259" w:lineRule="auto"/>
              <w:ind w:left="107" w:right="0" w:firstLine="0"/>
              <w:jc w:val="left"/>
            </w:pPr>
            <w:r>
              <w:rPr>
                <w:rFonts w:cs="Times New Roman" w:hAnsi="Times New Roman" w:eastAsia="Times New Roman" w:ascii="Times New Roman"/>
                <w:sz w:val="18"/>
              </w:rPr>
              <w:t xml:space="preserve"> </w:t>
            </w:r>
          </w:p>
        </w:tc>
        <w:tc>
          <w:tcPr>
            <w:tcW w:w="1726" w:type="dxa"/>
            <w:tcBorders>
              <w:top w:val="single" w:sz="8" w:color="000000"/>
              <w:left w:val="single" w:sz="8" w:color="000000"/>
              <w:bottom w:val="single" w:sz="8" w:color="000000"/>
              <w:right w:val="single" w:sz="8" w:color="000000"/>
            </w:tcBorders>
            <w:vAlign w:val="top"/>
          </w:tcPr>
          <w:p>
            <w:pPr>
              <w:spacing w:before="0" w:after="0" w:line="259" w:lineRule="auto"/>
              <w:ind w:left="108" w:right="74" w:firstLine="0"/>
              <w:jc w:val="left"/>
            </w:pPr>
            <w:r>
              <w:rPr>
                <w:rFonts w:cs="Times New Roman" w:hAnsi="Times New Roman" w:eastAsia="Times New Roman" w:ascii="Times New Roman"/>
                <w:sz w:val="18"/>
              </w:rPr>
              <w:t xml:space="preserve">2. UNDP to complete the necessary procurement processes in due time </w:t>
            </w:r>
          </w:p>
        </w:tc>
        <w:tc>
          <w:tcPr>
            <w:tcW w:w="967" w:type="dxa"/>
            <w:tcBorders>
              <w:top w:val="single" w:sz="8" w:color="000000"/>
              <w:left w:val="single" w:sz="8" w:color="000000"/>
              <w:bottom w:val="single" w:sz="8" w:color="000000"/>
              <w:right w:val="single" w:sz="8" w:color="000000"/>
            </w:tcBorders>
            <w:vAlign w:val="top"/>
          </w:tcPr>
          <w:p>
            <w:pPr>
              <w:spacing w:before="0" w:after="0" w:line="259" w:lineRule="auto"/>
              <w:ind w:left="108" w:right="0" w:firstLine="0"/>
              <w:jc w:val="left"/>
            </w:pPr>
            <w:r>
              <w:rPr>
                <w:rFonts w:cs="Times New Roman" w:hAnsi="Times New Roman" w:eastAsia="Times New Roman" w:ascii="Times New Roman"/>
                <w:sz w:val="18"/>
              </w:rPr>
              <w:t xml:space="preserve">Whole </w:t>
            </w:r>
          </w:p>
          <w:p>
            <w:pPr>
              <w:spacing w:before="0" w:after="0" w:line="259" w:lineRule="auto"/>
              <w:ind w:left="108" w:right="0" w:firstLine="0"/>
              <w:jc w:val="left"/>
            </w:pPr>
            <w:r>
              <w:rPr>
                <w:rFonts w:cs="Times New Roman" w:hAnsi="Times New Roman" w:eastAsia="Times New Roman" w:ascii="Times New Roman"/>
                <w:sz w:val="18"/>
              </w:rPr>
              <w:t xml:space="preserve">project period </w:t>
            </w:r>
          </w:p>
        </w:tc>
        <w:tc>
          <w:tcPr>
            <w:tcW w:w="2551" w:type="dxa"/>
            <w:tcBorders>
              <w:top w:val="single" w:sz="8" w:color="000000"/>
              <w:left w:val="single" w:sz="8" w:color="000000"/>
              <w:bottom w:val="single" w:sz="8" w:color="000000"/>
              <w:right w:val="single" w:sz="8" w:color="000000"/>
            </w:tcBorders>
            <w:vAlign w:val="top"/>
          </w:tcPr>
          <w:p>
            <w:pPr>
              <w:spacing w:before="0" w:after="0" w:line="259" w:lineRule="auto"/>
              <w:ind w:left="828" w:right="0" w:firstLine="0"/>
              <w:jc w:val="left"/>
            </w:pPr>
            <w:r>
              <w:rPr>
                <w:rFonts w:cs="Times New Roman" w:hAnsi="Times New Roman" w:eastAsia="Times New Roman" w:ascii="Times New Roman"/>
                <w:sz w:val="18"/>
              </w:rPr>
              <w:t xml:space="preserve"> </w:t>
            </w:r>
          </w:p>
        </w:tc>
        <w:tc>
          <w:tcPr>
            <w:tcW w:w="1702" w:type="dxa"/>
            <w:tcBorders>
              <w:top w:val="single" w:sz="8" w:color="000000"/>
              <w:left w:val="single" w:sz="8" w:color="000000"/>
              <w:bottom w:val="single" w:sz="8" w:color="000000"/>
              <w:right w:val="single" w:sz="8" w:color="000000"/>
            </w:tcBorders>
            <w:vAlign w:val="top"/>
          </w:tcPr>
          <w:p>
            <w:pPr>
              <w:spacing w:before="0" w:after="0" w:line="259" w:lineRule="auto"/>
              <w:ind w:left="108" w:right="0" w:firstLine="0"/>
              <w:jc w:val="left"/>
            </w:pPr>
            <w:r>
              <w:rPr>
                <w:rFonts w:cs="Times New Roman" w:hAnsi="Times New Roman" w:eastAsia="Times New Roman" w:ascii="Times New Roman"/>
                <w:sz w:val="18"/>
              </w:rPr>
              <w:t xml:space="preserve"> </w:t>
            </w:r>
          </w:p>
        </w:tc>
        <w:tc>
          <w:tcPr>
            <w:tcW w:w="1702" w:type="dxa"/>
            <w:tcBorders>
              <w:top w:val="single" w:sz="8" w:color="000000"/>
              <w:left w:val="single" w:sz="8" w:color="000000"/>
              <w:bottom w:val="single" w:sz="8" w:color="000000"/>
              <w:right w:val="nil"/>
            </w:tcBorders>
            <w:vAlign w:val="top"/>
          </w:tcPr>
          <w:p>
            <w:pPr>
              <w:spacing w:before="0" w:after="0" w:line="259" w:lineRule="auto"/>
              <w:ind w:left="468" w:right="138" w:hanging="360"/>
            </w:pPr>
            <w:r>
              <w:rPr>
                <w:rFonts w:cs="Segoe UI Symbol" w:hAnsi="Segoe UI Symbol" w:eastAsia="Segoe UI Symbol" w:ascii="Segoe UI Symbol"/>
                <w:sz w:val="28"/>
                <w:vertAlign w:val="superscript"/>
              </w:rPr>
              <w:t xml:space="preserve">•</w:t>
            </w:r>
            <w:r>
              <w:rPr>
                <w:rFonts w:cs="Arial" w:hAnsi="Arial" w:eastAsia="Arial" w:ascii="Arial"/>
                <w:sz w:val="28"/>
                <w:vertAlign w:val="superscript"/>
              </w:rPr>
              <w:t xml:space="preserve"> </w:t>
            </w:r>
            <w:r>
              <w:rPr>
                <w:rFonts w:cs="Times New Roman" w:hAnsi="Times New Roman" w:eastAsia="Times New Roman" w:ascii="Times New Roman"/>
                <w:sz w:val="18"/>
              </w:rPr>
              <w:t xml:space="preserve">Elaborate all TORs and commence procurement in early stage </w:t>
            </w:r>
          </w:p>
        </w:tc>
        <w:tc>
          <w:tcPr>
            <w:tcW w:w="190" w:type="dxa"/>
            <w:tcBorders>
              <w:top w:val="single" w:sz="8" w:color="000000"/>
              <w:left w:val="nil"/>
              <w:bottom w:val="single" w:sz="8" w:color="000000"/>
              <w:right w:val="single" w:sz="8" w:color="000000"/>
            </w:tcBorders>
            <w:vAlign w:val="bottom"/>
          </w:tcPr>
          <w:p>
            <w:pPr>
              <w:bidi w:val="0"/>
              <w:spacing w:before="0" w:after="160" w:line="259" w:lineRule="auto"/>
              <w:ind w:left="0" w:right="0" w:firstLine="0"/>
              <w:jc w:val="left"/>
            </w:pPr>
          </w:p>
        </w:tc>
        <w:tc>
          <w:tcPr>
            <w:tcW w:w="1508" w:type="dxa"/>
            <w:tcBorders>
              <w:top w:val="single" w:sz="8" w:color="000000"/>
              <w:left w:val="single" w:sz="8" w:color="000000"/>
              <w:bottom w:val="single" w:sz="8" w:color="000000"/>
              <w:right w:val="single" w:sz="8" w:color="000000"/>
            </w:tcBorders>
            <w:vAlign w:val="top"/>
          </w:tcPr>
          <w:p>
            <w:pPr>
              <w:spacing w:before="0" w:after="0" w:line="259" w:lineRule="auto"/>
              <w:ind w:left="538" w:right="0" w:firstLine="0"/>
              <w:jc w:val="left"/>
            </w:pPr>
            <w:r>
              <w:rPr>
                <w:rFonts w:cs="Times New Roman" w:hAnsi="Times New Roman" w:eastAsia="Times New Roman" w:ascii="Times New Roman"/>
                <w:sz w:val="18"/>
              </w:rPr>
              <w:t xml:space="preserve"> </w:t>
            </w:r>
          </w:p>
        </w:tc>
      </w:tr>
      <w:tr>
        <w:trPr>
          <w:trHeight w:val="641" w:hRule="atLeast"/>
        </w:trPr>
        <w:tc>
          <w:tcPr>
            <w:tcW w:w="1438" w:type="dxa"/>
            <w:tcBorders>
              <w:top w:val="single" w:sz="8" w:color="000000"/>
              <w:left w:val="single" w:sz="8" w:color="000000"/>
              <w:bottom w:val="single" w:sz="8" w:color="000000"/>
              <w:right w:val="single" w:sz="8" w:color="000000"/>
            </w:tcBorders>
            <w:vAlign w:val="top"/>
          </w:tcPr>
          <w:p>
            <w:pPr>
              <w:spacing w:before="0" w:after="0" w:line="259" w:lineRule="auto"/>
              <w:ind w:left="106" w:right="0" w:firstLine="0"/>
              <w:jc w:val="left"/>
            </w:pPr>
            <w:r>
              <w:rPr>
                <w:rFonts w:cs="Times New Roman" w:hAnsi="Times New Roman" w:eastAsia="Times New Roman" w:ascii="Times New Roman"/>
                <w:sz w:val="18"/>
              </w:rPr>
              <w:t xml:space="preserve"> </w:t>
            </w:r>
          </w:p>
        </w:tc>
        <w:tc>
          <w:tcPr>
            <w:tcW w:w="774" w:type="dxa"/>
            <w:tcBorders>
              <w:top w:val="single" w:sz="8" w:color="000000"/>
              <w:left w:val="single" w:sz="8" w:color="000000"/>
              <w:bottom w:val="single" w:sz="8" w:color="000000"/>
              <w:right w:val="single" w:sz="8" w:color="000000"/>
            </w:tcBorders>
            <w:vAlign w:val="top"/>
          </w:tcPr>
          <w:p>
            <w:pPr>
              <w:spacing w:before="0" w:after="0" w:line="259" w:lineRule="auto"/>
              <w:ind w:left="108" w:right="0" w:firstLine="0"/>
              <w:jc w:val="left"/>
            </w:pPr>
            <w:r>
              <w:rPr>
                <w:rFonts w:cs="Times New Roman" w:hAnsi="Times New Roman" w:eastAsia="Times New Roman" w:ascii="Times New Roman"/>
                <w:sz w:val="18"/>
              </w:rPr>
              <w:t xml:space="preserve"> </w:t>
            </w:r>
          </w:p>
        </w:tc>
        <w:tc>
          <w:tcPr>
            <w:tcW w:w="1134" w:type="dxa"/>
            <w:tcBorders>
              <w:top w:val="single" w:sz="8" w:color="000000"/>
              <w:left w:val="single" w:sz="8" w:color="000000"/>
              <w:bottom w:val="single" w:sz="8" w:color="000000"/>
              <w:right w:val="single" w:sz="8" w:color="000000"/>
            </w:tcBorders>
            <w:vAlign w:val="top"/>
          </w:tcPr>
          <w:p>
            <w:pPr>
              <w:spacing w:before="0" w:after="0" w:line="259" w:lineRule="auto"/>
              <w:ind w:left="107" w:right="0" w:firstLine="0"/>
              <w:jc w:val="left"/>
            </w:pPr>
            <w:r>
              <w:rPr>
                <w:rFonts w:cs="Times New Roman" w:hAnsi="Times New Roman" w:eastAsia="Times New Roman" w:ascii="Times New Roman"/>
                <w:sz w:val="18"/>
              </w:rPr>
              <w:t xml:space="preserve"> </w:t>
            </w:r>
          </w:p>
        </w:tc>
        <w:tc>
          <w:tcPr>
            <w:tcW w:w="1726" w:type="dxa"/>
            <w:tcBorders>
              <w:top w:val="single" w:sz="8" w:color="000000"/>
              <w:left w:val="single" w:sz="8" w:color="000000"/>
              <w:bottom w:val="single" w:sz="8" w:color="000000"/>
              <w:right w:val="single" w:sz="8" w:color="000000"/>
            </w:tcBorders>
            <w:vAlign w:val="top"/>
          </w:tcPr>
          <w:p>
            <w:pPr>
              <w:spacing w:before="0" w:after="0" w:line="259" w:lineRule="auto"/>
              <w:ind w:left="468" w:right="0" w:firstLine="0"/>
              <w:jc w:val="left"/>
            </w:pPr>
            <w:r>
              <w:rPr>
                <w:rFonts w:cs="Times New Roman" w:hAnsi="Times New Roman" w:eastAsia="Times New Roman" w:ascii="Times New Roman"/>
                <w:sz w:val="18"/>
              </w:rPr>
              <w:t xml:space="preserve"> </w:t>
            </w:r>
          </w:p>
        </w:tc>
        <w:tc>
          <w:tcPr>
            <w:tcW w:w="967" w:type="dxa"/>
            <w:tcBorders>
              <w:top w:val="single" w:sz="8" w:color="000000"/>
              <w:left w:val="single" w:sz="8" w:color="000000"/>
              <w:bottom w:val="single" w:sz="8" w:color="000000"/>
              <w:right w:val="single" w:sz="8" w:color="000000"/>
            </w:tcBorders>
            <w:vAlign w:val="top"/>
          </w:tcPr>
          <w:p>
            <w:pPr>
              <w:spacing w:before="0" w:after="0" w:line="259" w:lineRule="auto"/>
              <w:ind w:left="108" w:right="0" w:firstLine="0"/>
              <w:jc w:val="left"/>
            </w:pPr>
            <w:r>
              <w:rPr>
                <w:rFonts w:cs="Times New Roman" w:hAnsi="Times New Roman" w:eastAsia="Times New Roman" w:ascii="Times New Roman"/>
                <w:sz w:val="18"/>
              </w:rPr>
              <w:t xml:space="preserve"> </w:t>
            </w:r>
          </w:p>
        </w:tc>
        <w:tc>
          <w:tcPr>
            <w:tcW w:w="2551" w:type="dxa"/>
            <w:tcBorders>
              <w:top w:val="single" w:sz="8" w:color="000000"/>
              <w:left w:val="single" w:sz="8" w:color="000000"/>
              <w:bottom w:val="single" w:sz="8" w:color="000000"/>
              <w:right w:val="single" w:sz="8" w:color="000000"/>
            </w:tcBorders>
            <w:vAlign w:val="top"/>
          </w:tcPr>
          <w:p>
            <w:pPr>
              <w:spacing w:before="0" w:after="0" w:line="259" w:lineRule="auto"/>
              <w:ind w:left="108" w:right="0" w:firstLine="0"/>
              <w:jc w:val="left"/>
            </w:pPr>
            <w:r>
              <w:rPr>
                <w:rFonts w:cs="Times New Roman" w:hAnsi="Times New Roman" w:eastAsia="Times New Roman" w:ascii="Times New Roman"/>
                <w:sz w:val="18"/>
              </w:rPr>
              <w:t xml:space="preserve"> </w:t>
            </w:r>
          </w:p>
        </w:tc>
        <w:tc>
          <w:tcPr>
            <w:tcW w:w="1702" w:type="dxa"/>
            <w:tcBorders>
              <w:top w:val="single" w:sz="8" w:color="000000"/>
              <w:left w:val="single" w:sz="8" w:color="000000"/>
              <w:bottom w:val="single" w:sz="8" w:color="000000"/>
              <w:right w:val="single" w:sz="8" w:color="000000"/>
            </w:tcBorders>
            <w:vAlign w:val="top"/>
          </w:tcPr>
          <w:p>
            <w:pPr>
              <w:spacing w:before="0" w:after="0" w:line="240" w:lineRule="auto"/>
              <w:ind w:left="108" w:right="1549" w:firstLine="0"/>
            </w:pPr>
            <w:r>
              <w:rPr>
                <w:rFonts w:cs="Times New Roman" w:hAnsi="Times New Roman" w:eastAsia="Times New Roman" w:ascii="Times New Roman"/>
                <w:sz w:val="18"/>
              </w:rPr>
              <w:t xml:space="preserve">  </w:t>
            </w:r>
          </w:p>
          <w:p>
            <w:pPr>
              <w:spacing w:before="0" w:after="0" w:line="259" w:lineRule="auto"/>
              <w:ind w:left="108" w:right="0" w:firstLine="0"/>
              <w:jc w:val="left"/>
            </w:pPr>
            <w:r>
              <w:rPr>
                <w:rFonts w:cs="Times New Roman" w:hAnsi="Times New Roman" w:eastAsia="Times New Roman" w:ascii="Times New Roman"/>
                <w:sz w:val="18"/>
              </w:rPr>
              <w:t xml:space="preserve"> </w:t>
            </w:r>
          </w:p>
        </w:tc>
        <w:tc>
          <w:tcPr>
            <w:tcW w:w="1702" w:type="dxa"/>
            <w:tcBorders>
              <w:top w:val="single" w:sz="8" w:color="000000"/>
              <w:left w:val="single" w:sz="8" w:color="000000"/>
              <w:bottom w:val="single" w:sz="8" w:color="000000"/>
              <w:right w:val="nil"/>
            </w:tcBorders>
            <w:vAlign w:val="top"/>
          </w:tcPr>
          <w:p>
            <w:pPr>
              <w:spacing w:before="0" w:after="0" w:line="259" w:lineRule="auto"/>
              <w:ind w:left="108" w:right="0" w:firstLine="0"/>
              <w:jc w:val="left"/>
            </w:pPr>
            <w:r>
              <w:rPr>
                <w:rFonts w:cs="Times New Roman" w:hAnsi="Times New Roman" w:eastAsia="Times New Roman" w:ascii="Times New Roman"/>
                <w:sz w:val="18"/>
              </w:rPr>
              <w:t xml:space="preserve"> </w:t>
            </w:r>
          </w:p>
        </w:tc>
        <w:tc>
          <w:tcPr>
            <w:tcW w:w="190" w:type="dxa"/>
            <w:tcBorders>
              <w:top w:val="single" w:sz="8" w:color="000000"/>
              <w:left w:val="nil"/>
              <w:bottom w:val="single" w:sz="8" w:color="000000"/>
              <w:right w:val="single" w:sz="8" w:color="000000"/>
            </w:tcBorders>
            <w:vAlign w:val="bottom"/>
          </w:tcPr>
          <w:p>
            <w:pPr>
              <w:bidi w:val="0"/>
              <w:spacing w:before="0" w:after="160" w:line="259" w:lineRule="auto"/>
              <w:ind w:left="0" w:right="0" w:firstLine="0"/>
              <w:jc w:val="left"/>
            </w:pPr>
          </w:p>
        </w:tc>
        <w:tc>
          <w:tcPr>
            <w:tcW w:w="1508" w:type="dxa"/>
            <w:tcBorders>
              <w:top w:val="single" w:sz="8" w:color="000000"/>
              <w:left w:val="single" w:sz="8" w:color="000000"/>
              <w:bottom w:val="single" w:sz="8" w:color="000000"/>
              <w:right w:val="single" w:sz="8" w:color="000000"/>
            </w:tcBorders>
            <w:vAlign w:val="top"/>
          </w:tcPr>
          <w:p>
            <w:pPr>
              <w:spacing w:before="0" w:after="0" w:line="259" w:lineRule="auto"/>
              <w:ind w:left="466" w:right="0" w:firstLine="0"/>
              <w:jc w:val="left"/>
            </w:pPr>
            <w:r>
              <w:rPr>
                <w:rFonts w:cs="Times New Roman" w:hAnsi="Times New Roman" w:eastAsia="Times New Roman" w:ascii="Times New Roman"/>
                <w:sz w:val="18"/>
              </w:rPr>
              <w:t xml:space="preserve"> </w:t>
            </w:r>
          </w:p>
        </w:tc>
      </w:tr>
      <w:tr>
        <w:trPr>
          <w:trHeight w:val="228" w:hRule="atLeast"/>
        </w:trPr>
        <w:tc>
          <w:tcPr>
            <w:tcW w:w="11993" w:type="dxa"/>
            <w:gridSpan w:val="8"/>
            <w:tcBorders>
              <w:top w:val="single" w:sz="8" w:color="000000"/>
              <w:left w:val="single" w:sz="8" w:color="000000"/>
              <w:bottom w:val="single" w:sz="8" w:color="000000"/>
              <w:right w:val="nil"/>
            </w:tcBorders>
            <w:vAlign w:val="top"/>
          </w:tcPr>
          <w:p>
            <w:pPr>
              <w:tabs>
                <w:tab w:val="center" w:pos="174"/>
                <w:tab w:val="center" w:pos="1178"/>
              </w:tabs>
              <w:spacing w:before="0" w:after="0" w:line="259" w:lineRule="auto"/>
              <w:ind w:left="0" w:right="0" w:firstLine="0"/>
              <w:jc w:val="left"/>
            </w:pPr>
            <w:r>
              <w:rPr>
                <w:rFonts w:cs="Calibri" w:hAnsi="Calibri" w:eastAsia="Calibri" w:ascii="Calibri"/>
                <w:sz w:val="22"/>
              </w:rPr>
              <w:t xml:space="preserve">	</w:t>
            </w:r>
            <w:r>
              <w:rPr>
                <w:rFonts w:cs="Times New Roman" w:hAnsi="Times New Roman" w:eastAsia="Times New Roman" w:ascii="Times New Roman"/>
                <w:b w:val="1"/>
                <w:sz w:val="18"/>
              </w:rPr>
              <w:t xml:space="preserve">3.</w:t>
            </w:r>
            <w:r>
              <w:rPr>
                <w:rFonts w:cs="Arial" w:hAnsi="Arial" w:eastAsia="Arial" w:ascii="Arial"/>
                <w:b w:val="1"/>
                <w:sz w:val="28"/>
                <w:vertAlign w:val="superscript"/>
              </w:rPr>
              <w:t xml:space="preserve"> 	</w:t>
            </w:r>
            <w:r>
              <w:rPr>
                <w:rFonts w:cs="Times New Roman" w:hAnsi="Times New Roman" w:eastAsia="Times New Roman" w:ascii="Times New Roman"/>
                <w:b w:val="1"/>
                <w:sz w:val="18"/>
              </w:rPr>
              <w:t xml:space="preserve">FUNDING RISKS </w:t>
            </w:r>
          </w:p>
        </w:tc>
        <w:tc>
          <w:tcPr>
            <w:tcW w:w="1698" w:type="dxa"/>
            <w:gridSpan w:val="2"/>
            <w:tcBorders>
              <w:top w:val="single" w:sz="8" w:color="000000"/>
              <w:left w:val="nil"/>
              <w:bottom w:val="single" w:sz="8" w:color="000000"/>
              <w:right w:val="single" w:sz="8" w:color="000000"/>
            </w:tcBorders>
            <w:vAlign w:val="bottom"/>
          </w:tcPr>
          <w:p>
            <w:pPr>
              <w:bidi w:val="0"/>
              <w:spacing w:before="0" w:after="160" w:line="259" w:lineRule="auto"/>
              <w:ind w:left="0" w:right="0" w:firstLine="0"/>
              <w:jc w:val="left"/>
            </w:pPr>
          </w:p>
        </w:tc>
      </w:tr>
      <w:tr>
        <w:trPr>
          <w:trHeight w:val="1481" w:hRule="atLeast"/>
        </w:trPr>
        <w:tc>
          <w:tcPr>
            <w:tcW w:w="1438" w:type="dxa"/>
            <w:tcBorders>
              <w:top w:val="single" w:sz="8" w:color="000000"/>
              <w:left w:val="single" w:sz="8" w:color="000000"/>
              <w:bottom w:val="single" w:sz="8" w:color="000000"/>
              <w:right w:val="single" w:sz="8" w:color="000000"/>
            </w:tcBorders>
            <w:vAlign w:val="top"/>
          </w:tcPr>
          <w:p>
            <w:pPr>
              <w:spacing w:before="0" w:after="0" w:line="259" w:lineRule="auto"/>
              <w:ind w:left="106" w:right="43" w:firstLine="0"/>
              <w:jc w:val="left"/>
            </w:pPr>
            <w:r>
              <w:rPr>
                <w:rFonts w:cs="Times New Roman" w:hAnsi="Times New Roman" w:eastAsia="Times New Roman" w:ascii="Times New Roman"/>
                <w:sz w:val="18"/>
              </w:rPr>
              <w:t xml:space="preserve">Transfer of Funds </w:t>
            </w:r>
          </w:p>
        </w:tc>
        <w:tc>
          <w:tcPr>
            <w:tcW w:w="774" w:type="dxa"/>
            <w:tcBorders>
              <w:top w:val="single" w:sz="8" w:color="000000"/>
              <w:left w:val="single" w:sz="8" w:color="000000"/>
              <w:bottom w:val="single" w:sz="8" w:color="000000"/>
              <w:right w:val="single" w:sz="8" w:color="000000"/>
            </w:tcBorders>
            <w:vAlign w:val="top"/>
          </w:tcPr>
          <w:p>
            <w:pPr>
              <w:spacing w:before="0" w:after="2" w:line="238" w:lineRule="auto"/>
              <w:ind w:left="108" w:right="55" w:firstLine="0"/>
              <w:jc w:val="left"/>
            </w:pPr>
            <w:r>
              <w:rPr>
                <w:rFonts w:cs="Times New Roman" w:hAnsi="Times New Roman" w:eastAsia="Times New Roman" w:ascii="Times New Roman"/>
                <w:sz w:val="18"/>
              </w:rPr>
              <w:t xml:space="preserve">March to April, </w:t>
            </w:r>
          </w:p>
          <w:p>
            <w:pPr>
              <w:spacing w:before="0" w:after="0" w:line="259" w:lineRule="auto"/>
              <w:ind w:left="108" w:right="0" w:firstLine="0"/>
              <w:jc w:val="left"/>
            </w:pPr>
            <w:r>
              <w:rPr>
                <w:rFonts w:cs="Times New Roman" w:hAnsi="Times New Roman" w:eastAsia="Times New Roman" w:ascii="Times New Roman"/>
                <w:sz w:val="18"/>
              </w:rPr>
              <w:t xml:space="preserve">2011 </w:t>
            </w:r>
          </w:p>
        </w:tc>
        <w:tc>
          <w:tcPr>
            <w:tcW w:w="1134" w:type="dxa"/>
            <w:tcBorders>
              <w:top w:val="single" w:sz="8" w:color="000000"/>
              <w:left w:val="single" w:sz="8" w:color="000000"/>
              <w:bottom w:val="single" w:sz="8" w:color="000000"/>
              <w:right w:val="single" w:sz="8" w:color="000000"/>
            </w:tcBorders>
            <w:vAlign w:val="top"/>
          </w:tcPr>
          <w:p>
            <w:pPr>
              <w:spacing w:before="0" w:after="0" w:line="259" w:lineRule="auto"/>
              <w:ind w:left="107" w:right="0" w:firstLine="0"/>
              <w:jc w:val="left"/>
            </w:pPr>
            <w:r>
              <w:rPr>
                <w:rFonts w:cs="Times New Roman" w:hAnsi="Times New Roman" w:eastAsia="Times New Roman" w:ascii="Times New Roman"/>
                <w:sz w:val="18"/>
              </w:rPr>
              <w:t xml:space="preserve">UNDP, MoJ </w:t>
            </w:r>
          </w:p>
        </w:tc>
        <w:tc>
          <w:tcPr>
            <w:tcW w:w="1726" w:type="dxa"/>
            <w:tcBorders>
              <w:top w:val="single" w:sz="8" w:color="000000"/>
              <w:left w:val="single" w:sz="8" w:color="000000"/>
              <w:bottom w:val="single" w:sz="8" w:color="000000"/>
              <w:right w:val="single" w:sz="8" w:color="000000"/>
            </w:tcBorders>
            <w:vAlign w:val="top"/>
          </w:tcPr>
          <w:p>
            <w:pPr>
              <w:spacing w:before="0" w:after="0" w:line="259" w:lineRule="auto"/>
              <w:ind w:left="468" w:right="86" w:hanging="360"/>
              <w:jc w:val="left"/>
            </w:pPr>
            <w:r>
              <w:rPr>
                <w:rFonts w:cs="Times New Roman" w:hAnsi="Times New Roman" w:eastAsia="Times New Roman" w:ascii="Times New Roman"/>
                <w:sz w:val="18"/>
              </w:rPr>
              <w:t xml:space="preserve">1.</w:t>
            </w:r>
            <w:r>
              <w:rPr>
                <w:rFonts w:cs="Arial" w:hAnsi="Arial" w:eastAsia="Arial" w:ascii="Arial"/>
                <w:sz w:val="18"/>
              </w:rPr>
              <w:t xml:space="preserve"> 	</w:t>
            </w:r>
            <w:r>
              <w:rPr>
                <w:rFonts w:cs="Times New Roman" w:hAnsi="Times New Roman" w:eastAsia="Times New Roman" w:ascii="Times New Roman"/>
                <w:sz w:val="18"/>
              </w:rPr>
              <w:t xml:space="preserve">Funds to be timely transferred to project account so that activities are duly </w:t>
            </w:r>
          </w:p>
        </w:tc>
        <w:tc>
          <w:tcPr>
            <w:tcW w:w="967" w:type="dxa"/>
            <w:tcBorders>
              <w:top w:val="single" w:sz="8" w:color="000000"/>
              <w:left w:val="single" w:sz="8" w:color="000000"/>
              <w:bottom w:val="single" w:sz="8" w:color="000000"/>
              <w:right w:val="single" w:sz="8" w:color="000000"/>
            </w:tcBorders>
            <w:vAlign w:val="top"/>
          </w:tcPr>
          <w:p>
            <w:pPr>
              <w:spacing w:before="0" w:after="0" w:line="259" w:lineRule="auto"/>
              <w:ind w:left="108" w:right="0" w:firstLine="0"/>
              <w:jc w:val="left"/>
            </w:pPr>
            <w:r>
              <w:rPr>
                <w:rFonts w:cs="Times New Roman" w:hAnsi="Times New Roman" w:eastAsia="Times New Roman" w:ascii="Times New Roman"/>
                <w:sz w:val="18"/>
              </w:rPr>
              <w:t xml:space="preserve">By 	early March </w:t>
            </w:r>
          </w:p>
        </w:tc>
        <w:tc>
          <w:tcPr>
            <w:tcW w:w="2551" w:type="dxa"/>
            <w:tcBorders>
              <w:top w:val="single" w:sz="8" w:color="000000"/>
              <w:left w:val="single" w:sz="8" w:color="000000"/>
              <w:bottom w:val="single" w:sz="8" w:color="000000"/>
              <w:right w:val="single" w:sz="8" w:color="000000"/>
            </w:tcBorders>
            <w:vAlign w:val="top"/>
          </w:tcPr>
          <w:p>
            <w:pPr>
              <w:spacing w:before="0" w:after="0" w:line="259" w:lineRule="auto"/>
              <w:ind w:left="468" w:right="23" w:hanging="360"/>
              <w:jc w:val="left"/>
            </w:pPr>
            <w:r>
              <w:rPr>
                <w:rFonts w:cs="Segoe UI Symbol" w:hAnsi="Segoe UI Symbol" w:eastAsia="Segoe UI Symbol" w:ascii="Segoe UI Symbol"/>
                <w:sz w:val="28"/>
                <w:vertAlign w:val="superscript"/>
              </w:rPr>
              <w:t xml:space="preserve">•</w:t>
            </w:r>
            <w:r>
              <w:rPr>
                <w:rFonts w:cs="Arial" w:hAnsi="Arial" w:eastAsia="Arial" w:ascii="Arial"/>
                <w:sz w:val="28"/>
                <w:vertAlign w:val="superscript"/>
              </w:rPr>
              <w:t xml:space="preserve"> 	</w:t>
            </w:r>
            <w:r>
              <w:rPr>
                <w:rFonts w:cs="Times New Roman" w:hAnsi="Times New Roman" w:eastAsia="Times New Roman" w:ascii="Times New Roman"/>
                <w:sz w:val="18"/>
              </w:rPr>
              <w:t xml:space="preserve">Funding delays will result in delays in the implementation of the project activities </w:t>
            </w:r>
          </w:p>
        </w:tc>
        <w:tc>
          <w:tcPr>
            <w:tcW w:w="1702" w:type="dxa"/>
            <w:tcBorders>
              <w:top w:val="single" w:sz="8" w:color="000000"/>
              <w:left w:val="single" w:sz="8" w:color="000000"/>
              <w:bottom w:val="single" w:sz="8" w:color="000000"/>
              <w:right w:val="single" w:sz="8" w:color="000000"/>
            </w:tcBorders>
            <w:vAlign w:val="top"/>
          </w:tcPr>
          <w:p>
            <w:pPr>
              <w:spacing w:before="0" w:after="0" w:line="259" w:lineRule="auto"/>
              <w:ind w:left="108" w:right="0" w:firstLine="0"/>
              <w:jc w:val="left"/>
            </w:pPr>
            <w:r>
              <w:rPr>
                <w:rFonts w:cs="Times New Roman" w:hAnsi="Times New Roman" w:eastAsia="Times New Roman" w:ascii="Times New Roman"/>
                <w:sz w:val="18"/>
              </w:rPr>
              <w:t xml:space="preserve">Medium </w:t>
            </w:r>
          </w:p>
        </w:tc>
        <w:tc>
          <w:tcPr>
            <w:tcW w:w="1702" w:type="dxa"/>
            <w:tcBorders>
              <w:top w:val="single" w:sz="8" w:color="000000"/>
              <w:left w:val="single" w:sz="8" w:color="000000"/>
              <w:bottom w:val="single" w:sz="8" w:color="000000"/>
              <w:right w:val="nil"/>
            </w:tcBorders>
            <w:vAlign w:val="top"/>
          </w:tcPr>
          <w:p>
            <w:pPr>
              <w:tabs>
                <w:tab w:val="center" w:pos="149"/>
                <w:tab w:val="center" w:pos="709"/>
              </w:tabs>
              <w:spacing w:before="0" w:after="0" w:line="259" w:lineRule="auto"/>
              <w:ind w:left="0" w:right="0" w:firstLine="0"/>
              <w:jc w:val="left"/>
            </w:pPr>
            <w:r>
              <w:rPr>
                <w:rFonts w:cs="Calibri" w:hAnsi="Calibri" w:eastAsia="Calibri" w:ascii="Calibri"/>
                <w:sz w:val="22"/>
              </w:rPr>
              <w:t xml:space="preserve">	</w:t>
            </w:r>
            <w:r>
              <w:rPr>
                <w:rFonts w:cs="Segoe UI Symbol" w:hAnsi="Segoe UI Symbol" w:eastAsia="Segoe UI Symbol" w:ascii="Segoe UI Symbol"/>
                <w:sz w:val="18"/>
              </w:rPr>
              <w:t xml:space="preserve">•</w:t>
            </w:r>
            <w:r>
              <w:rPr>
                <w:rFonts w:cs="Arial" w:hAnsi="Arial" w:eastAsia="Arial" w:ascii="Arial"/>
                <w:sz w:val="28"/>
                <w:vertAlign w:val="superscript"/>
              </w:rPr>
              <w:t xml:space="preserve"> 	</w:t>
            </w:r>
            <w:r>
              <w:rPr>
                <w:rFonts w:cs="Times New Roman" w:hAnsi="Times New Roman" w:eastAsia="Times New Roman" w:ascii="Times New Roman"/>
                <w:sz w:val="18"/>
              </w:rPr>
              <w:t xml:space="preserve">Proper </w:t>
            </w:r>
          </w:p>
          <w:p>
            <w:pPr>
              <w:spacing w:before="0" w:after="0" w:line="259" w:lineRule="auto"/>
              <w:ind w:left="468" w:right="0" w:firstLine="0"/>
              <w:jc w:val="left"/>
            </w:pPr>
            <w:r>
              <w:rPr>
                <w:rFonts w:cs="Times New Roman" w:hAnsi="Times New Roman" w:eastAsia="Times New Roman" w:ascii="Times New Roman"/>
                <w:sz w:val="18"/>
              </w:rPr>
              <w:t xml:space="preserve">coordination wit donors in order t ensure that funding is provided in line with funding </w:t>
            </w:r>
          </w:p>
        </w:tc>
        <w:tc>
          <w:tcPr>
            <w:tcW w:w="190" w:type="dxa"/>
            <w:tcBorders>
              <w:top w:val="single" w:sz="8" w:color="000000"/>
              <w:left w:val="nil"/>
              <w:bottom w:val="single" w:sz="8" w:color="000000"/>
              <w:right w:val="single" w:sz="8" w:color="000000"/>
            </w:tcBorders>
            <w:vAlign w:val="top"/>
          </w:tcPr>
          <w:p>
            <w:pPr>
              <w:spacing w:before="0" w:after="0" w:line="259" w:lineRule="auto"/>
              <w:ind w:left="-48" w:right="0" w:firstLine="0"/>
              <w:jc w:val="left"/>
            </w:pPr>
            <w:r>
              <w:rPr>
                <w:rFonts w:cs="Times New Roman" w:hAnsi="Times New Roman" w:eastAsia="Times New Roman" w:ascii="Times New Roman"/>
                <w:sz w:val="18"/>
              </w:rPr>
              <w:t xml:space="preserve">h </w:t>
            </w:r>
          </w:p>
          <w:p>
            <w:pPr>
              <w:spacing w:before="0" w:after="0" w:line="259" w:lineRule="auto"/>
              <w:ind w:left="-38" w:right="0" w:firstLine="0"/>
              <w:jc w:val="left"/>
            </w:pPr>
            <w:r>
              <w:rPr>
                <w:rFonts w:cs="Times New Roman" w:hAnsi="Times New Roman" w:eastAsia="Times New Roman" w:ascii="Times New Roman"/>
                <w:sz w:val="18"/>
              </w:rPr>
              <w:t xml:space="preserve">o </w:t>
            </w:r>
          </w:p>
        </w:tc>
        <w:tc>
          <w:tcPr>
            <w:tcW w:w="1508" w:type="dxa"/>
            <w:tcBorders>
              <w:top w:val="single" w:sz="8" w:color="000000"/>
              <w:left w:val="single" w:sz="8" w:color="000000"/>
              <w:bottom w:val="single" w:sz="8" w:color="000000"/>
              <w:right w:val="single" w:sz="8" w:color="000000"/>
            </w:tcBorders>
            <w:vAlign w:val="top"/>
          </w:tcPr>
          <w:p>
            <w:pPr>
              <w:spacing w:before="0" w:after="0" w:line="259" w:lineRule="auto"/>
              <w:ind w:left="106" w:right="0" w:firstLine="0"/>
              <w:jc w:val="left"/>
            </w:pPr>
            <w:r>
              <w:rPr>
                <w:rFonts w:cs="Times New Roman" w:hAnsi="Times New Roman" w:eastAsia="Times New Roman" w:ascii="Times New Roman"/>
                <w:sz w:val="18"/>
              </w:rPr>
              <w:t xml:space="preserve"> </w:t>
            </w:r>
          </w:p>
        </w:tc>
      </w:tr>
    </w:tbl>
    <w:tbl>
      <w:tblPr>
        <w:tblStyle w:val="TableGrid"/>
        <w:tblW w:w="13691" w:type="dxa"/>
        <w:tblInd w:w="-211" w:type="dxa"/>
        <w:tblCellMar>
          <w:top w:w="12" w:type="dxa"/>
          <w:left w:w="0" w:type="dxa"/>
          <w:bottom w:w="0" w:type="dxa"/>
          <w:right w:w="0" w:type="dxa"/>
        </w:tblCellMar>
      </w:tblPr>
      <w:tblGrid>
        <w:gridCol w:w="1438"/>
        <w:gridCol w:w="774"/>
        <w:gridCol w:w="1134"/>
        <w:gridCol w:w="1726"/>
        <w:gridCol w:w="967"/>
        <w:gridCol w:w="2551"/>
        <w:gridCol w:w="1702"/>
        <w:gridCol w:w="1702"/>
        <w:gridCol w:w="190"/>
        <w:gridCol w:w="1508"/>
      </w:tblGrid>
      <w:tr>
        <w:trPr>
          <w:trHeight w:val="799" w:hRule="atLeast"/>
        </w:trPr>
        <w:tc>
          <w:tcPr>
            <w:tcW w:w="1438" w:type="dxa"/>
            <w:vMerge w:val="restart"/>
            <w:tcBorders>
              <w:top w:val="single" w:sz="8" w:color="000000"/>
              <w:left w:val="single" w:sz="8" w:color="000000"/>
              <w:bottom w:val="single" w:sz="8" w:color="000000"/>
              <w:right w:val="single" w:sz="8" w:color="000000"/>
            </w:tcBorders>
            <w:shd w:val="clear" w:fill="ffcc00"/>
            <w:vAlign w:val="center"/>
          </w:tcPr>
          <w:p>
            <w:pPr>
              <w:spacing w:before="0" w:after="0" w:line="259" w:lineRule="auto"/>
              <w:ind w:left="0" w:right="0" w:firstLine="0"/>
              <w:jc w:val="left"/>
            </w:pPr>
            <w:r>
              <w:rPr>
                <w:rFonts w:cs="Times New Roman" w:hAnsi="Times New Roman" w:eastAsia="Times New Roman" w:ascii="Times New Roman"/>
                <w:b w:val="1"/>
                <w:sz w:val="22"/>
              </w:rPr>
              <w:t xml:space="preserve">Critical </w:t>
            </w:r>
          </w:p>
          <w:p>
            <w:pPr>
              <w:spacing w:before="0" w:after="0" w:line="259" w:lineRule="auto"/>
              <w:ind w:left="0" w:right="0" w:firstLine="0"/>
              <w:jc w:val="left"/>
            </w:pPr>
            <w:r>
              <w:rPr>
                <w:rFonts w:cs="Times New Roman" w:hAnsi="Times New Roman" w:eastAsia="Times New Roman" w:ascii="Times New Roman"/>
                <w:b w:val="1"/>
                <w:sz w:val="22"/>
              </w:rPr>
              <w:t xml:space="preserve">Issue/Event</w:t>
            </w:r>
            <w:r>
              <w:rPr>
                <w:rFonts w:cs="Times New Roman" w:hAnsi="Times New Roman" w:eastAsia="Times New Roman" w:ascii="Times New Roman"/>
                <w:b w:val="1"/>
              </w:rPr>
              <w:t xml:space="preserve"> </w:t>
            </w:r>
          </w:p>
        </w:tc>
        <w:tc>
          <w:tcPr>
            <w:tcW w:w="774" w:type="dxa"/>
            <w:vMerge w:val="restart"/>
            <w:tcBorders>
              <w:top w:val="single" w:sz="8" w:color="000000"/>
              <w:left w:val="single" w:sz="8" w:color="000000"/>
              <w:bottom w:val="single" w:sz="8" w:color="000000"/>
              <w:right w:val="single" w:sz="8" w:color="000000"/>
            </w:tcBorders>
            <w:shd w:val="clear" w:fill="ffcc00"/>
            <w:vAlign w:val="center"/>
          </w:tcPr>
          <w:p>
            <w:pPr>
              <w:spacing w:before="0" w:after="0" w:line="259" w:lineRule="auto"/>
              <w:ind w:left="2" w:right="0" w:firstLine="0"/>
              <w:jc w:val="left"/>
            </w:pPr>
            <w:r>
              <w:rPr>
                <w:rFonts w:cs="Times New Roman" w:hAnsi="Times New Roman" w:eastAsia="Times New Roman" w:ascii="Times New Roman"/>
                <w:b w:val="1"/>
                <w:sz w:val="22"/>
              </w:rPr>
              <w:t xml:space="preserve">Dead</w:t>
            </w:r>
            <w:r>
              <w:rPr>
                <w:rFonts w:cs="Times New Roman" w:hAnsi="Times New Roman" w:eastAsia="Times New Roman" w:ascii="Times New Roman"/>
                <w:b w:val="1"/>
              </w:rPr>
              <w:t xml:space="preserve"> </w:t>
            </w:r>
          </w:p>
          <w:p>
            <w:pPr>
              <w:spacing w:before="0" w:after="0" w:line="259" w:lineRule="auto"/>
              <w:ind w:left="2" w:right="0" w:firstLine="0"/>
              <w:jc w:val="left"/>
            </w:pPr>
            <w:r>
              <w:rPr>
                <w:rFonts w:cs="Times New Roman" w:hAnsi="Times New Roman" w:eastAsia="Times New Roman" w:ascii="Times New Roman"/>
                <w:b w:val="1"/>
                <w:sz w:val="22"/>
              </w:rPr>
              <w:t xml:space="preserve">line</w:t>
            </w:r>
            <w:r>
              <w:rPr>
                <w:rFonts w:cs="Times New Roman" w:hAnsi="Times New Roman" w:eastAsia="Times New Roman" w:ascii="Times New Roman"/>
                <w:b w:val="1"/>
              </w:rPr>
              <w:t xml:space="preserve"> </w:t>
            </w:r>
          </w:p>
        </w:tc>
        <w:tc>
          <w:tcPr>
            <w:tcW w:w="1134" w:type="dxa"/>
            <w:vMerge w:val="restart"/>
            <w:tcBorders>
              <w:top w:val="single" w:sz="8" w:color="000000"/>
              <w:left w:val="single" w:sz="8" w:color="000000"/>
              <w:bottom w:val="single" w:sz="8" w:color="000000"/>
              <w:right w:val="single" w:sz="8" w:color="000000"/>
            </w:tcBorders>
            <w:shd w:val="clear" w:fill="ffcc00"/>
            <w:vAlign w:val="center"/>
          </w:tcPr>
          <w:p>
            <w:pPr>
              <w:spacing w:before="0" w:after="0" w:line="259" w:lineRule="auto"/>
              <w:ind w:left="1" w:right="0" w:firstLine="0"/>
              <w:jc w:val="left"/>
            </w:pPr>
            <w:r>
              <w:rPr>
                <w:rFonts w:cs="Times New Roman" w:hAnsi="Times New Roman" w:eastAsia="Times New Roman" w:ascii="Times New Roman"/>
                <w:b w:val="1"/>
                <w:sz w:val="22"/>
              </w:rPr>
              <w:t xml:space="preserve">Stakehol ders </w:t>
            </w:r>
            <w:r>
              <w:rPr>
                <w:rFonts w:cs="Times New Roman" w:hAnsi="Times New Roman" w:eastAsia="Times New Roman" w:ascii="Times New Roman"/>
                <w:b w:val="1"/>
              </w:rPr>
              <w:t xml:space="preserve"> </w:t>
            </w:r>
          </w:p>
        </w:tc>
        <w:tc>
          <w:tcPr>
            <w:tcW w:w="2693" w:type="dxa"/>
            <w:gridSpan w:val="2"/>
            <w:tcBorders>
              <w:top w:val="single" w:sz="8" w:color="000000"/>
              <w:left w:val="single" w:sz="8" w:color="000000"/>
              <w:bottom w:val="single" w:sz="8" w:color="000000"/>
              <w:right w:val="single" w:sz="8" w:color="000000"/>
            </w:tcBorders>
            <w:shd w:val="clear" w:fill="ffcc00"/>
            <w:vAlign w:val="top"/>
          </w:tcPr>
          <w:p>
            <w:pPr>
              <w:spacing w:before="0" w:after="0" w:line="259" w:lineRule="auto"/>
              <w:ind w:left="2" w:right="0" w:firstLine="0"/>
              <w:jc w:val="left"/>
            </w:pPr>
            <w:r>
              <w:rPr>
                <w:rFonts w:cs="Times New Roman" w:hAnsi="Times New Roman" w:eastAsia="Times New Roman" w:ascii="Times New Roman"/>
                <w:b w:val="1"/>
                <w:sz w:val="22"/>
              </w:rPr>
              <w:t xml:space="preserve">What stakeholders need </w:t>
            </w:r>
          </w:p>
          <w:p>
            <w:pPr>
              <w:spacing w:before="0" w:after="0" w:line="259" w:lineRule="auto"/>
              <w:ind w:left="2" w:right="0" w:firstLine="0"/>
              <w:jc w:val="left"/>
            </w:pPr>
            <w:r>
              <w:rPr>
                <w:rFonts w:cs="Times New Roman" w:hAnsi="Times New Roman" w:eastAsia="Times New Roman" w:ascii="Times New Roman"/>
                <w:b w:val="1"/>
                <w:sz w:val="22"/>
              </w:rPr>
              <w:t xml:space="preserve">to do</w:t>
            </w:r>
            <w:r>
              <w:rPr>
                <w:rFonts w:cs="Times New Roman" w:hAnsi="Times New Roman" w:eastAsia="Times New Roman" w:ascii="Times New Roman"/>
                <w:b w:val="1"/>
              </w:rPr>
              <w:t xml:space="preserve"> </w:t>
            </w:r>
          </w:p>
          <w:p>
            <w:pPr>
              <w:spacing w:before="0" w:after="0" w:line="259" w:lineRule="auto"/>
              <w:ind w:left="2" w:right="0" w:firstLine="0"/>
              <w:jc w:val="left"/>
            </w:pPr>
            <w:r>
              <w:rPr>
                <w:rFonts w:cs="Times New Roman" w:hAnsi="Times New Roman" w:eastAsia="Times New Roman" w:ascii="Times New Roman"/>
                <w:b w:val="1"/>
                <w:sz w:val="22"/>
              </w:rPr>
              <w:t xml:space="preserve">                            </w:t>
            </w:r>
            <w:r>
              <w:rPr>
                <w:rFonts w:cs="Times New Roman" w:hAnsi="Times New Roman" w:eastAsia="Times New Roman" w:ascii="Times New Roman"/>
                <w:b w:val="1"/>
              </w:rPr>
              <w:t xml:space="preserve"> </w:t>
            </w:r>
          </w:p>
        </w:tc>
        <w:tc>
          <w:tcPr>
            <w:tcW w:w="2551" w:type="dxa"/>
            <w:vMerge w:val="restart"/>
            <w:tcBorders>
              <w:top w:val="single" w:sz="8" w:color="000000"/>
              <w:left w:val="single" w:sz="8" w:color="000000"/>
              <w:bottom w:val="single" w:sz="8" w:color="000000"/>
              <w:right w:val="single" w:sz="8" w:color="000000"/>
            </w:tcBorders>
            <w:shd w:val="clear" w:fill="ffcc00"/>
            <w:vAlign w:val="center"/>
          </w:tcPr>
          <w:p>
            <w:pPr>
              <w:spacing w:before="0" w:after="11" w:line="239" w:lineRule="auto"/>
              <w:ind w:left="0" w:right="0" w:firstLine="0"/>
              <w:jc w:val="center"/>
            </w:pPr>
            <w:r>
              <w:rPr>
                <w:rFonts w:cs="Times New Roman" w:hAnsi="Times New Roman" w:eastAsia="Times New Roman" w:ascii="Times New Roman"/>
                <w:b w:val="1"/>
                <w:sz w:val="22"/>
              </w:rPr>
              <w:t xml:space="preserve">Potential impact/risk of deadline being </w:t>
            </w:r>
          </w:p>
          <w:p>
            <w:pPr>
              <w:spacing w:before="0" w:after="0" w:line="259" w:lineRule="auto"/>
              <w:ind w:left="0" w:right="53" w:firstLine="0"/>
              <w:jc w:val="center"/>
            </w:pPr>
            <w:r>
              <w:rPr>
                <w:rFonts w:cs="Times New Roman" w:hAnsi="Times New Roman" w:eastAsia="Times New Roman" w:ascii="Times New Roman"/>
                <w:b w:val="1"/>
                <w:sz w:val="22"/>
              </w:rPr>
              <w:t xml:space="preserve">missed/major problem</w:t>
            </w:r>
            <w:r>
              <w:rPr>
                <w:rFonts w:cs="Times New Roman" w:hAnsi="Times New Roman" w:eastAsia="Times New Roman" w:ascii="Times New Roman"/>
                <w:b w:val="1"/>
              </w:rPr>
              <w:t xml:space="preserve"> </w:t>
            </w:r>
          </w:p>
        </w:tc>
        <w:tc>
          <w:tcPr>
            <w:tcW w:w="1702" w:type="dxa"/>
            <w:vMerge w:val="restart"/>
            <w:tcBorders>
              <w:top w:val="single" w:sz="8" w:color="000000"/>
              <w:left w:val="single" w:sz="8" w:color="000000"/>
              <w:bottom w:val="single" w:sz="8" w:color="000000"/>
              <w:right w:val="single" w:sz="8" w:color="000000"/>
            </w:tcBorders>
            <w:shd w:val="clear" w:fill="ffcc00"/>
            <w:vAlign w:val="center"/>
          </w:tcPr>
          <w:p>
            <w:pPr>
              <w:spacing w:before="0" w:after="0" w:line="259" w:lineRule="auto"/>
              <w:ind w:left="2" w:right="246" w:firstLine="0"/>
              <w:jc w:val="left"/>
            </w:pPr>
            <w:r>
              <w:rPr>
                <w:rFonts w:cs="Times New Roman" w:hAnsi="Times New Roman" w:eastAsia="Times New Roman" w:ascii="Times New Roman"/>
                <w:b w:val="1"/>
                <w:sz w:val="22"/>
              </w:rPr>
              <w:t xml:space="preserve">Risk</w:t>
            </w:r>
            <w:r>
              <w:rPr>
                <w:rFonts w:cs="Times New Roman" w:hAnsi="Times New Roman" w:eastAsia="Times New Roman" w:ascii="Times New Roman"/>
                <w:b w:val="1"/>
              </w:rPr>
              <w:t xml:space="preserve"> </w:t>
            </w:r>
            <w:r>
              <w:rPr>
                <w:rFonts w:cs="Times New Roman" w:hAnsi="Times New Roman" w:eastAsia="Times New Roman" w:ascii="Times New Roman"/>
                <w:b w:val="1"/>
                <w:sz w:val="22"/>
              </w:rPr>
              <w:t xml:space="preserve">(Impact/ likelihood)</w:t>
            </w:r>
            <w:r>
              <w:rPr>
                <w:rFonts w:cs="Times New Roman" w:hAnsi="Times New Roman" w:eastAsia="Times New Roman" w:ascii="Times New Roman"/>
                <w:b w:val="1"/>
              </w:rPr>
              <w:t xml:space="preserve"> </w:t>
            </w:r>
          </w:p>
        </w:tc>
        <w:tc>
          <w:tcPr>
            <w:tcW w:w="1702" w:type="dxa"/>
            <w:vMerge w:val="restart"/>
            <w:tcBorders>
              <w:top w:val="single" w:sz="8" w:color="000000"/>
              <w:left w:val="single" w:sz="8" w:color="000000"/>
              <w:bottom w:val="single" w:sz="8" w:color="000000"/>
              <w:right w:val="single" w:sz="8" w:color="000000"/>
            </w:tcBorders>
            <w:shd w:val="clear" w:fill="ffcc00"/>
            <w:vAlign w:val="center"/>
          </w:tcPr>
          <w:p>
            <w:pPr>
              <w:spacing w:before="0" w:after="0" w:line="259" w:lineRule="auto"/>
              <w:ind w:left="2" w:right="0" w:firstLine="0"/>
              <w:jc w:val="left"/>
            </w:pPr>
            <w:r>
              <w:rPr>
                <w:rFonts w:cs="Times New Roman" w:hAnsi="Times New Roman" w:eastAsia="Times New Roman" w:ascii="Times New Roman"/>
                <w:b w:val="1"/>
                <w:sz w:val="22"/>
              </w:rPr>
              <w:t xml:space="preserve">Risk Mitigation</w:t>
            </w:r>
            <w:r>
              <w:rPr>
                <w:rFonts w:cs="Times New Roman" w:hAnsi="Times New Roman" w:eastAsia="Times New Roman" w:ascii="Times New Roman"/>
                <w:b w:val="1"/>
                <w:sz w:val="24"/>
              </w:rPr>
              <w:t xml:space="preserve"> </w:t>
            </w:r>
          </w:p>
        </w:tc>
        <w:tc>
          <w:tcPr>
            <w:tcW w:w="1698" w:type="dxa"/>
            <w:gridSpan w:val="2"/>
            <w:vMerge w:val="restart"/>
            <w:tcBorders>
              <w:top w:val="single" w:sz="8" w:color="000000"/>
              <w:left w:val="single" w:sz="8" w:color="000000"/>
              <w:bottom w:val="single" w:sz="8" w:color="000000"/>
              <w:right w:val="single" w:sz="8" w:color="000000"/>
            </w:tcBorders>
            <w:shd w:val="clear" w:fill="ffcc00"/>
            <w:vAlign w:val="top"/>
          </w:tcPr>
          <w:p>
            <w:pPr>
              <w:spacing w:before="0" w:after="0" w:line="259" w:lineRule="auto"/>
              <w:ind w:left="2" w:right="0" w:firstLine="0"/>
              <w:jc w:val="left"/>
            </w:pPr>
            <w:r>
              <w:rPr>
                <w:rFonts w:cs="Times New Roman" w:hAnsi="Times New Roman" w:eastAsia="Times New Roman" w:ascii="Times New Roman"/>
                <w:b w:val="1"/>
                <w:sz w:val="22"/>
              </w:rPr>
              <w:t xml:space="preserve">Status: On </w:t>
            </w:r>
          </w:p>
          <w:p>
            <w:pPr>
              <w:spacing w:before="0" w:after="0" w:line="259" w:lineRule="auto"/>
              <w:ind w:left="2" w:right="0" w:firstLine="0"/>
              <w:jc w:val="left"/>
            </w:pPr>
            <w:r>
              <w:rPr>
                <w:rFonts w:cs="Times New Roman" w:hAnsi="Times New Roman" w:eastAsia="Times New Roman" w:ascii="Times New Roman"/>
                <w:b w:val="1"/>
                <w:sz w:val="22"/>
              </w:rPr>
              <w:t xml:space="preserve">Track or not?</w:t>
            </w:r>
            <w:r>
              <w:rPr>
                <w:rFonts w:cs="Times New Roman" w:hAnsi="Times New Roman" w:eastAsia="Times New Roman" w:ascii="Times New Roman"/>
                <w:b w:val="1"/>
              </w:rPr>
              <w:t xml:space="preserve"> </w:t>
            </w:r>
          </w:p>
        </w:tc>
      </w:tr>
      <w:tr>
        <w:trPr>
          <w:trHeight w:val="408" w:hRule="atLeast"/>
        </w:trPr>
        <w:tc>
          <w:tcPr>
            <w:vMerge w:val="continue"/>
            <w:tcBorders>
              <w:top w:val="nil"/>
              <w:left w:val="single" w:sz="8" w:color="000000"/>
              <w:bottom w:val="single" w:sz="8" w:color="000000"/>
              <w:right w:val="single" w:sz="8" w:color="000000"/>
            </w:tcBorders>
            <w:vAlign w:val="center"/>
          </w:tcPr>
          <w:p>
            <w:pPr>
              <w:bidi w:val="0"/>
              <w:spacing w:before="0" w:after="160" w:line="259" w:lineRule="auto"/>
              <w:ind w:left="0" w:right="0" w:firstLine="0"/>
              <w:jc w:val="left"/>
            </w:pPr>
          </w:p>
        </w:tc>
        <w:tc>
          <w:tcPr>
            <w:vMerge w:val="continue"/>
            <w:tcBorders>
              <w:top w:val="nil"/>
              <w:left w:val="single" w:sz="8" w:color="000000"/>
              <w:bottom w:val="single" w:sz="8" w:color="000000"/>
              <w:right w:val="single" w:sz="8" w:color="000000"/>
            </w:tcBorders>
            <w:vAlign w:val="center"/>
          </w:tcPr>
          <w:p>
            <w:pPr>
              <w:bidi w:val="0"/>
              <w:spacing w:before="0" w:after="160" w:line="259" w:lineRule="auto"/>
              <w:ind w:left="0" w:right="0" w:firstLine="0"/>
              <w:jc w:val="left"/>
            </w:pPr>
          </w:p>
        </w:tc>
        <w:tc>
          <w:tcPr>
            <w:vMerge w:val="continue"/>
            <w:tcBorders>
              <w:top w:val="nil"/>
              <w:left w:val="single" w:sz="8" w:color="000000"/>
              <w:bottom w:val="single" w:sz="8" w:color="000000"/>
              <w:right w:val="single" w:sz="8" w:color="000000"/>
            </w:tcBorders>
            <w:vAlign w:val="center"/>
          </w:tcPr>
          <w:p>
            <w:pPr>
              <w:bidi w:val="0"/>
              <w:spacing w:before="0" w:after="160" w:line="259" w:lineRule="auto"/>
              <w:ind w:left="0" w:right="0" w:firstLine="0"/>
              <w:jc w:val="left"/>
            </w:pPr>
          </w:p>
        </w:tc>
        <w:tc>
          <w:tcPr>
            <w:tcW w:w="1726" w:type="dxa"/>
            <w:tcBorders>
              <w:top w:val="single" w:sz="8" w:color="000000"/>
              <w:left w:val="single" w:sz="8" w:color="000000"/>
              <w:bottom w:val="single" w:sz="8" w:color="000000"/>
              <w:right w:val="single" w:sz="8" w:color="000000"/>
            </w:tcBorders>
            <w:shd w:val="clear" w:fill="ffcc00"/>
            <w:vAlign w:val="top"/>
          </w:tcPr>
          <w:p>
            <w:pPr>
              <w:spacing w:before="0" w:after="0" w:line="259" w:lineRule="auto"/>
              <w:ind w:left="2" w:right="0" w:firstLine="0"/>
              <w:jc w:val="left"/>
            </w:pPr>
            <w:r>
              <w:rPr>
                <w:rFonts w:cs="Times New Roman" w:hAnsi="Times New Roman" w:eastAsia="Times New Roman" w:ascii="Times New Roman"/>
                <w:b w:val="1"/>
                <w:sz w:val="22"/>
              </w:rPr>
              <w:t xml:space="preserve">What  </w:t>
            </w:r>
            <w:r>
              <w:rPr>
                <w:rFonts w:cs="Times New Roman" w:hAnsi="Times New Roman" w:eastAsia="Times New Roman" w:ascii="Times New Roman"/>
                <w:b w:val="1"/>
              </w:rPr>
              <w:t xml:space="preserve"> </w:t>
            </w:r>
          </w:p>
        </w:tc>
        <w:tc>
          <w:tcPr>
            <w:tcW w:w="967" w:type="dxa"/>
            <w:tcBorders>
              <w:top w:val="single" w:sz="8" w:color="000000"/>
              <w:left w:val="single" w:sz="8" w:color="000000"/>
              <w:bottom w:val="single" w:sz="8" w:color="000000"/>
              <w:right w:val="single" w:sz="8" w:color="000000"/>
            </w:tcBorders>
            <w:shd w:val="clear" w:fill="ffcc00"/>
            <w:vAlign w:val="top"/>
          </w:tcPr>
          <w:p>
            <w:pPr>
              <w:spacing w:before="0" w:after="0" w:line="259" w:lineRule="auto"/>
              <w:ind w:left="2" w:right="0" w:firstLine="0"/>
              <w:jc w:val="left"/>
            </w:pPr>
            <w:r>
              <w:rPr>
                <w:rFonts w:cs="Times New Roman" w:hAnsi="Times New Roman" w:eastAsia="Times New Roman" w:ascii="Times New Roman"/>
                <w:b w:val="1"/>
                <w:sz w:val="22"/>
              </w:rPr>
              <w:t xml:space="preserve">When</w:t>
            </w:r>
            <w:r>
              <w:rPr>
                <w:rFonts w:cs="Times New Roman" w:hAnsi="Times New Roman" w:eastAsia="Times New Roman" w:ascii="Times New Roman"/>
                <w:b w:val="1"/>
              </w:rPr>
              <w:t xml:space="preserve"> </w:t>
            </w:r>
          </w:p>
        </w:tc>
        <w:tc>
          <w:tcPr>
            <w:vMerge w:val="continue"/>
            <w:tcBorders>
              <w:top w:val="nil"/>
              <w:left w:val="single" w:sz="8" w:color="000000"/>
              <w:bottom w:val="single" w:sz="8" w:color="000000"/>
              <w:right w:val="single" w:sz="8" w:color="000000"/>
            </w:tcBorders>
            <w:vAlign w:val="center"/>
          </w:tcPr>
          <w:p>
            <w:pPr>
              <w:bidi w:val="0"/>
              <w:spacing w:before="0" w:after="160" w:line="259" w:lineRule="auto"/>
              <w:ind w:left="0" w:right="0" w:firstLine="0"/>
              <w:jc w:val="left"/>
            </w:pPr>
          </w:p>
        </w:tc>
        <w:tc>
          <w:tcPr>
            <w:vMerge w:val="continue"/>
            <w:tcBorders>
              <w:top w:val="nil"/>
              <w:left w:val="single" w:sz="8" w:color="000000"/>
              <w:bottom w:val="single" w:sz="8" w:color="000000"/>
              <w:right w:val="single" w:sz="8" w:color="000000"/>
            </w:tcBorders>
            <w:vAlign w:val="center"/>
          </w:tcPr>
          <w:p>
            <w:pPr>
              <w:bidi w:val="0"/>
              <w:spacing w:before="0" w:after="160" w:line="259" w:lineRule="auto"/>
              <w:ind w:left="0" w:right="0" w:firstLine="0"/>
              <w:jc w:val="left"/>
            </w:pPr>
          </w:p>
        </w:tc>
        <w:tc>
          <w:tcPr>
            <w:vMerge w:val="continue"/>
            <w:tcBorders>
              <w:top w:val="nil"/>
              <w:left w:val="single" w:sz="8" w:color="000000"/>
              <w:bottom w:val="single" w:sz="8" w:color="000000"/>
              <w:right w:val="single" w:sz="8" w:color="000000"/>
            </w:tcBorders>
            <w:vAlign w:val="top"/>
          </w:tcPr>
          <w:p>
            <w:pPr>
              <w:bidi w:val="0"/>
              <w:spacing w:before="0" w:after="160" w:line="259" w:lineRule="auto"/>
              <w:ind w:left="0" w:right="0" w:firstLine="0"/>
              <w:jc w:val="left"/>
            </w:pPr>
          </w:p>
        </w:tc>
        <w:tc>
          <w:tcPr>
            <w:gridSpan w:val="2"/>
            <w:vMerge w:val="continue"/>
            <w:tcBorders>
              <w:top w:val="nil"/>
              <w:left w:val="single" w:sz="8" w:color="000000"/>
              <w:bottom w:val="single" w:sz="8" w:color="000000"/>
              <w:right w:val="single" w:sz="8" w:color="000000"/>
            </w:tcBorders>
            <w:vAlign w:val="center"/>
          </w:tcPr>
          <w:p>
            <w:pPr>
              <w:bidi w:val="0"/>
              <w:spacing w:before="0" w:after="160" w:line="259" w:lineRule="auto"/>
              <w:ind w:left="0" w:right="0" w:firstLine="0"/>
              <w:jc w:val="left"/>
            </w:pPr>
          </w:p>
        </w:tc>
      </w:tr>
      <w:tr>
        <w:trPr>
          <w:trHeight w:val="1070" w:hRule="atLeast"/>
        </w:trPr>
        <w:tc>
          <w:tcPr>
            <w:tcW w:w="1438" w:type="dxa"/>
            <w:tcBorders>
              <w:top w:val="single" w:sz="8" w:color="000000"/>
              <w:left w:val="single" w:sz="8" w:color="000000"/>
              <w:bottom w:val="single" w:sz="8" w:color="000000"/>
              <w:right w:val="single" w:sz="8" w:color="000000"/>
            </w:tcBorders>
            <w:vAlign w:val="center"/>
          </w:tcPr>
          <w:p>
            <w:pPr>
              <w:bidi w:val="0"/>
              <w:spacing w:before="0" w:after="160" w:line="259" w:lineRule="auto"/>
              <w:ind w:left="0" w:right="0" w:firstLine="0"/>
              <w:jc w:val="left"/>
            </w:pPr>
          </w:p>
        </w:tc>
        <w:tc>
          <w:tcPr>
            <w:tcW w:w="774" w:type="dxa"/>
            <w:tcBorders>
              <w:top w:val="single" w:sz="8" w:color="000000"/>
              <w:left w:val="single" w:sz="8" w:color="000000"/>
              <w:bottom w:val="single" w:sz="8" w:color="000000"/>
              <w:right w:val="single" w:sz="8" w:color="000000"/>
            </w:tcBorders>
            <w:vAlign w:val="center"/>
          </w:tcPr>
          <w:p>
            <w:pPr>
              <w:bidi w:val="0"/>
              <w:spacing w:before="0" w:after="160" w:line="259" w:lineRule="auto"/>
              <w:ind w:left="0" w:right="0" w:firstLine="0"/>
              <w:jc w:val="left"/>
            </w:pPr>
          </w:p>
        </w:tc>
        <w:tc>
          <w:tcPr>
            <w:tcW w:w="1134" w:type="dxa"/>
            <w:tcBorders>
              <w:top w:val="single" w:sz="8" w:color="000000"/>
              <w:left w:val="single" w:sz="8" w:color="000000"/>
              <w:bottom w:val="single" w:sz="8" w:color="000000"/>
              <w:right w:val="single" w:sz="8" w:color="000000"/>
            </w:tcBorders>
            <w:vAlign w:val="center"/>
          </w:tcPr>
          <w:p>
            <w:pPr>
              <w:bidi w:val="0"/>
              <w:spacing w:before="0" w:after="160" w:line="259" w:lineRule="auto"/>
              <w:ind w:left="0" w:right="0" w:firstLine="0"/>
              <w:jc w:val="left"/>
            </w:pPr>
          </w:p>
        </w:tc>
        <w:tc>
          <w:tcPr>
            <w:tcW w:w="1726" w:type="dxa"/>
            <w:tcBorders>
              <w:top w:val="single" w:sz="8" w:color="000000"/>
              <w:left w:val="single" w:sz="8" w:color="000000"/>
              <w:bottom w:val="single" w:sz="8" w:color="000000"/>
              <w:right w:val="single" w:sz="8" w:color="000000"/>
            </w:tcBorders>
            <w:vAlign w:val="top"/>
          </w:tcPr>
          <w:p>
            <w:pPr>
              <w:spacing w:before="0" w:after="35" w:line="259" w:lineRule="auto"/>
              <w:ind w:left="362" w:right="0" w:firstLine="0"/>
              <w:jc w:val="left"/>
            </w:pPr>
            <w:r>
              <w:rPr>
                <w:rFonts w:cs="Times New Roman" w:hAnsi="Times New Roman" w:eastAsia="Times New Roman" w:ascii="Times New Roman"/>
                <w:sz w:val="18"/>
              </w:rPr>
              <w:t xml:space="preserve">implemented </w:t>
            </w:r>
          </w:p>
          <w:p>
            <w:pPr>
              <w:spacing w:before="0" w:after="0" w:line="247" w:lineRule="auto"/>
              <w:ind w:left="362" w:right="0" w:hanging="360"/>
              <w:jc w:val="left"/>
            </w:pPr>
            <w:r>
              <w:rPr>
                <w:rFonts w:cs="Times New Roman" w:hAnsi="Times New Roman" w:eastAsia="Times New Roman" w:ascii="Times New Roman"/>
                <w:sz w:val="18"/>
              </w:rPr>
              <w:t xml:space="preserve">2.</w:t>
            </w:r>
            <w:r>
              <w:rPr>
                <w:rFonts w:cs="Arial" w:hAnsi="Arial" w:eastAsia="Arial" w:ascii="Arial"/>
                <w:sz w:val="18"/>
              </w:rPr>
              <w:t xml:space="preserve"> 	</w:t>
            </w:r>
            <w:r>
              <w:rPr>
                <w:rFonts w:cs="Times New Roman" w:hAnsi="Times New Roman" w:eastAsia="Times New Roman" w:ascii="Times New Roman"/>
                <w:sz w:val="18"/>
              </w:rPr>
              <w:t xml:space="preserve">Call for LPAC meeting early </w:t>
            </w:r>
          </w:p>
          <w:p>
            <w:pPr>
              <w:spacing w:before="0" w:after="0" w:line="259" w:lineRule="auto"/>
              <w:ind w:left="0" w:right="191" w:firstLine="0"/>
              <w:jc w:val="center"/>
            </w:pPr>
            <w:r>
              <w:rPr>
                <w:rFonts w:cs="Times New Roman" w:hAnsi="Times New Roman" w:eastAsia="Times New Roman" w:ascii="Times New Roman"/>
                <w:sz w:val="18"/>
              </w:rPr>
              <w:t xml:space="preserve">February </w:t>
            </w:r>
          </w:p>
        </w:tc>
        <w:tc>
          <w:tcPr>
            <w:tcW w:w="967" w:type="dxa"/>
            <w:tcBorders>
              <w:top w:val="single" w:sz="8" w:color="000000"/>
              <w:left w:val="single" w:sz="8" w:color="000000"/>
              <w:bottom w:val="single" w:sz="8" w:color="000000"/>
              <w:right w:val="single" w:sz="8" w:color="000000"/>
            </w:tcBorders>
            <w:vAlign w:val="center"/>
          </w:tcPr>
          <w:p>
            <w:pPr>
              <w:bidi w:val="0"/>
              <w:spacing w:before="0" w:after="160" w:line="259" w:lineRule="auto"/>
              <w:ind w:left="0" w:right="0" w:firstLine="0"/>
              <w:jc w:val="left"/>
            </w:pPr>
          </w:p>
        </w:tc>
        <w:tc>
          <w:tcPr>
            <w:tcW w:w="2551" w:type="dxa"/>
            <w:tcBorders>
              <w:top w:val="single" w:sz="8" w:color="000000"/>
              <w:left w:val="single" w:sz="8" w:color="000000"/>
              <w:bottom w:val="single" w:sz="8" w:color="000000"/>
              <w:right w:val="single" w:sz="8" w:color="000000"/>
            </w:tcBorders>
            <w:vAlign w:val="center"/>
          </w:tcPr>
          <w:p>
            <w:pPr>
              <w:bidi w:val="0"/>
              <w:spacing w:before="0" w:after="160" w:line="259" w:lineRule="auto"/>
              <w:ind w:left="0" w:right="0" w:firstLine="0"/>
              <w:jc w:val="left"/>
            </w:pPr>
          </w:p>
        </w:tc>
        <w:tc>
          <w:tcPr>
            <w:tcW w:w="1702" w:type="dxa"/>
            <w:tcBorders>
              <w:top w:val="single" w:sz="8" w:color="000000"/>
              <w:left w:val="single" w:sz="8" w:color="000000"/>
              <w:bottom w:val="single" w:sz="8" w:color="000000"/>
              <w:right w:val="single" w:sz="8" w:color="000000"/>
            </w:tcBorders>
            <w:vAlign w:val="top"/>
          </w:tcPr>
          <w:p>
            <w:pPr>
              <w:bidi w:val="0"/>
              <w:spacing w:before="0" w:after="160" w:line="259" w:lineRule="auto"/>
              <w:ind w:left="0" w:right="0" w:firstLine="0"/>
              <w:jc w:val="left"/>
            </w:pPr>
          </w:p>
        </w:tc>
        <w:tc>
          <w:tcPr>
            <w:tcW w:w="1891" w:type="dxa"/>
            <w:gridSpan w:val="2"/>
            <w:tcBorders>
              <w:top w:val="single" w:sz="8" w:color="000000"/>
              <w:left w:val="single" w:sz="8" w:color="000000"/>
              <w:bottom w:val="single" w:sz="8" w:color="000000"/>
              <w:right w:val="single" w:sz="8" w:color="000000"/>
            </w:tcBorders>
            <w:vAlign w:val="top"/>
          </w:tcPr>
          <w:p>
            <w:pPr>
              <w:spacing w:before="0" w:after="49" w:line="259" w:lineRule="auto"/>
              <w:ind w:left="4" w:right="0" w:firstLine="0"/>
              <w:jc w:val="center"/>
            </w:pPr>
            <w:r>
              <w:rPr>
                <w:rFonts w:cs="Times New Roman" w:hAnsi="Times New Roman" w:eastAsia="Times New Roman" w:ascii="Times New Roman"/>
                <w:sz w:val="18"/>
              </w:rPr>
              <w:t xml:space="preserve">arrangements. </w:t>
            </w:r>
          </w:p>
          <w:p>
            <w:pPr>
              <w:spacing w:before="0" w:after="0" w:line="259" w:lineRule="auto"/>
              <w:ind w:left="362" w:right="42" w:hanging="360"/>
              <w:jc w:val="left"/>
            </w:pPr>
            <w:r>
              <w:rPr>
                <w:rFonts w:cs="Segoe UI Symbol" w:hAnsi="Segoe UI Symbol" w:eastAsia="Segoe UI Symbol" w:ascii="Segoe UI Symbol"/>
                <w:sz w:val="28"/>
                <w:vertAlign w:val="superscript"/>
              </w:rPr>
              <w:t xml:space="preserve">•</w:t>
            </w:r>
            <w:r>
              <w:rPr>
                <w:rFonts w:cs="Arial" w:hAnsi="Arial" w:eastAsia="Arial" w:ascii="Arial"/>
                <w:sz w:val="18"/>
              </w:rPr>
              <w:t xml:space="preserve"> 	</w:t>
            </w:r>
            <w:r>
              <w:rPr>
                <w:rFonts w:cs="Times New Roman" w:hAnsi="Times New Roman" w:eastAsia="Times New Roman" w:ascii="Times New Roman"/>
                <w:sz w:val="18"/>
              </w:rPr>
              <w:t xml:space="preserve">UNDP to prepare AWP and ATLAS budget on time. </w:t>
            </w:r>
          </w:p>
        </w:tc>
        <w:tc>
          <w:tcPr>
            <w:tcW w:w="1508" w:type="dxa"/>
            <w:tcBorders>
              <w:top w:val="single" w:sz="8" w:color="000000"/>
              <w:left w:val="single" w:sz="8" w:color="000000"/>
              <w:bottom w:val="single" w:sz="8" w:color="000000"/>
              <w:right w:val="single" w:sz="8" w:color="000000"/>
            </w:tcBorders>
            <w:vAlign w:val="top"/>
          </w:tcPr>
          <w:p>
            <w:pPr>
              <w:bidi w:val="0"/>
              <w:spacing w:before="0" w:after="160" w:line="259" w:lineRule="auto"/>
              <w:ind w:left="0" w:right="0" w:firstLine="0"/>
              <w:jc w:val="left"/>
            </w:pPr>
          </w:p>
        </w:tc>
      </w:tr>
    </w:tbl>
    <w:p>
      <w:pPr>
        <w:spacing w:before="0" w:after="0" w:line="259" w:lineRule="auto"/>
        <w:ind w:left="0" w:right="0" w:firstLine="0"/>
        <w:jc w:val="left"/>
      </w:pPr>
      <w:r>
        <w:rPr>
          <w:rFonts w:cs="Calibri" w:hAnsi="Calibri" w:eastAsia="Calibri" w:ascii="Calibri"/>
          <w:sz w:val="28"/>
        </w:rPr>
        <w:t xml:space="preserve"> </w:t>
      </w:r>
    </w:p>
    <w:p>
      <w:pPr>
        <w:spacing w:before="0" w:after="95" w:line="259" w:lineRule="auto"/>
        <w:ind w:left="0" w:right="0" w:firstLine="0"/>
        <w:jc w:val="left"/>
      </w:pPr>
      <w:r>
        <w:rPr>
          <w:sz w:val="20"/>
        </w:rPr>
        <w:t xml:space="preserve"> </w:t>
      </w:r>
    </w:p>
    <w:p>
      <w:pPr>
        <w:spacing w:before="0" w:after="0" w:line="259" w:lineRule="auto"/>
        <w:ind w:left="0" w:right="0" w:firstLine="0"/>
        <w:jc w:val="left"/>
      </w:pPr>
      <w:r>
        <w:rPr>
          <w:rFonts w:cs="Calibri" w:hAnsi="Calibri" w:eastAsia="Calibri" w:ascii="Calibri"/>
          <w:sz w:val="32"/>
        </w:rPr>
        <w:t xml:space="preserve"> </w:t>
      </w:r>
    </w:p>
    <w:p>
      <w:pPr>
        <w:spacing w:before="0" w:after="0" w:line="259" w:lineRule="auto"/>
        <w:ind w:left="0" w:right="0" w:firstLine="0"/>
        <w:jc w:val="left"/>
      </w:pPr>
      <w:r>
        <w:rPr>
          <w:rFonts w:cs="Calibri" w:hAnsi="Calibri" w:eastAsia="Calibri" w:ascii="Calibri"/>
          <w:sz w:val="32"/>
        </w:rPr>
        <w:t xml:space="preserve"> </w:t>
      </w:r>
    </w:p>
    <w:p>
      <w:pPr>
        <w:spacing w:before="0" w:after="0" w:line="259" w:lineRule="auto"/>
        <w:ind w:left="0" w:right="0" w:firstLine="0"/>
        <w:jc w:val="left"/>
      </w:pPr>
      <w:r>
        <w:rPr>
          <w:rFonts w:cs="Calibri" w:hAnsi="Calibri" w:eastAsia="Calibri" w:ascii="Calibri"/>
          <w:sz w:val="32"/>
        </w:rPr>
        <w:t xml:space="preserve"> </w:t>
      </w:r>
    </w:p>
    <w:p>
      <w:pPr>
        <w:spacing w:before="0" w:after="0" w:line="259" w:lineRule="auto"/>
        <w:ind w:left="0" w:right="0" w:firstLine="0"/>
        <w:jc w:val="left"/>
      </w:pPr>
      <w:r>
        <w:rPr>
          <w:rFonts w:cs="Calibri" w:hAnsi="Calibri" w:eastAsia="Calibri" w:ascii="Calibri"/>
          <w:sz w:val="32"/>
        </w:rPr>
        <w:t xml:space="preserve"> </w:t>
      </w:r>
    </w:p>
    <w:p>
      <w:pPr>
        <w:spacing w:before="0" w:after="0" w:line="259" w:lineRule="auto"/>
        <w:ind w:left="0" w:right="0" w:firstLine="0"/>
        <w:jc w:val="left"/>
      </w:pPr>
      <w:r>
        <w:rPr>
          <w:rFonts w:cs="Calibri" w:hAnsi="Calibri" w:eastAsia="Calibri" w:ascii="Calibri"/>
          <w:sz w:val="32"/>
        </w:rPr>
        <w:t xml:space="preserve"> </w:t>
      </w:r>
    </w:p>
    <w:p>
      <w:pPr>
        <w:spacing w:before="0" w:after="0" w:line="259" w:lineRule="auto"/>
        <w:ind w:left="0" w:right="0" w:firstLine="0"/>
        <w:jc w:val="right"/>
      </w:pPr>
      <w:r>
        <w:rPr>
          <w:rFonts w:cs="Calibri" w:hAnsi="Calibri" w:eastAsia="Calibri" w:ascii="Calibri"/>
          <w:sz w:val="32"/>
        </w:rPr>
        <w:t xml:space="preserve"> </w:t>
      </w:r>
    </w:p>
    <w:p>
      <w:pPr>
        <w:spacing w:before="0" w:after="0" w:line="259" w:lineRule="auto"/>
        <w:ind w:left="0" w:right="0" w:firstLine="0"/>
        <w:jc w:val="left"/>
      </w:pPr>
      <w:r>
        <w:rPr>
          <w:rFonts w:cs="Calibri" w:hAnsi="Calibri" w:eastAsia="Calibri" w:ascii="Calibri"/>
        </w:rPr>
        <w:t xml:space="preserve"> </w:t>
      </w:r>
    </w:p>
    <w:p>
      <w:pPr>
        <w:spacing w:before="0" w:after="0" w:line="259" w:lineRule="auto"/>
        <w:ind w:left="0" w:right="0" w:firstLine="0"/>
        <w:jc w:val="left"/>
      </w:pPr>
      <w:r>
        <w:rPr/>
        <w:t xml:space="preserve"> </w:t>
      </w:r>
    </w:p>
    <w:p>
      <w:pPr>
        <w:spacing w:before="0" w:after="0" w:line="259" w:lineRule="auto"/>
        <w:ind w:left="360" w:right="0" w:firstLine="0"/>
        <w:jc w:val="left"/>
      </w:pPr>
      <w:r>
        <w:rPr>
          <w:sz w:val="22"/>
        </w:rPr>
        <w:t xml:space="preserve"> </w:t>
      </w:r>
    </w:p>
    <w:p>
      <w:pPr>
        <w:spacing w:before="0" w:after="0" w:line="259" w:lineRule="auto"/>
        <w:ind w:left="360" w:right="0" w:firstLine="0"/>
        <w:jc w:val="left"/>
      </w:pPr>
      <w:r>
        <w:rPr>
          <w:sz w:val="22"/>
        </w:rPr>
        <w:t xml:space="preserve"> </w:t>
      </w:r>
    </w:p>
    <w:p>
      <w:pPr>
        <w:spacing w:before="0" w:after="0" w:line="259" w:lineRule="auto"/>
        <w:ind w:left="360" w:right="0" w:firstLine="0"/>
        <w:jc w:val="left"/>
      </w:pPr>
      <w:r>
        <w:rPr>
          <w:sz w:val="22"/>
        </w:rPr>
        <w:t xml:space="preserve"> </w:t>
      </w:r>
    </w:p>
    <w:p>
      <w:pPr>
        <w:spacing w:before="0" w:after="0" w:line="259" w:lineRule="auto"/>
        <w:ind w:left="360" w:right="0" w:firstLine="0"/>
        <w:jc w:val="left"/>
      </w:pPr>
      <w:r>
        <w:rPr>
          <w:sz w:val="22"/>
        </w:rPr>
        <w:t xml:space="preserve"> </w:t>
      </w:r>
    </w:p>
    <w:p>
      <w:pPr>
        <w:spacing w:before="0" w:after="0" w:line="259" w:lineRule="auto"/>
        <w:ind w:left="360" w:right="0" w:firstLine="0"/>
        <w:jc w:val="left"/>
      </w:pPr>
      <w:r>
        <w:rPr>
          <w:sz w:val="22"/>
        </w:rPr>
        <w:t xml:space="preserve"> </w:t>
      </w:r>
    </w:p>
    <w:p>
      <w:pPr>
        <w:spacing w:before="0" w:after="0" w:line="259" w:lineRule="auto"/>
        <w:ind w:left="360" w:right="0" w:firstLine="0"/>
        <w:jc w:val="left"/>
      </w:pPr>
      <w:r>
        <w:rPr>
          <w:sz w:val="22"/>
        </w:rPr>
        <w:t xml:space="preserve"> </w:t>
      </w:r>
    </w:p>
    <w:p>
      <w:pPr>
        <w:spacing w:before="0" w:after="0" w:line="259" w:lineRule="auto"/>
        <w:ind w:left="360" w:right="0" w:firstLine="0"/>
        <w:jc w:val="left"/>
      </w:pPr>
      <w:r>
        <w:rPr>
          <w:sz w:val="22"/>
        </w:rPr>
        <w:t xml:space="preserve"> </w:t>
      </w:r>
    </w:p>
    <w:p>
      <w:pPr>
        <w:spacing w:before="0" w:after="0" w:line="259" w:lineRule="auto"/>
        <w:ind w:left="360" w:right="0" w:firstLine="0"/>
        <w:jc w:val="left"/>
      </w:pPr>
      <w:r>
        <w:rPr>
          <w:sz w:val="22"/>
        </w:rPr>
        <w:t xml:space="preserve"> </w:t>
      </w:r>
    </w:p>
    <w:p>
      <w:pPr>
        <w:spacing w:before="0" w:after="0" w:line="259" w:lineRule="auto"/>
        <w:ind w:left="360" w:right="0" w:firstLine="0"/>
        <w:jc w:val="left"/>
      </w:pPr>
      <w:r>
        <w:rPr>
          <w:sz w:val="22"/>
        </w:rPr>
        <w:t xml:space="preserve"> </w:t>
      </w:r>
    </w:p>
    <w:p>
      <w:pPr>
        <w:spacing w:before="0" w:after="0" w:line="259" w:lineRule="auto"/>
        <w:ind w:left="360" w:right="0" w:firstLine="0"/>
        <w:jc w:val="left"/>
      </w:pPr>
      <w:r>
        <w:rPr>
          <w:sz w:val="22"/>
        </w:rPr>
        <w:t xml:space="preserve"> </w:t>
      </w:r>
    </w:p>
    <w:p>
      <w:pPr>
        <w:spacing w:before="0" w:after="0" w:line="259" w:lineRule="auto"/>
        <w:ind w:left="360" w:right="0" w:firstLine="0"/>
        <w:jc w:val="left"/>
      </w:pPr>
      <w:r>
        <w:rPr>
          <w:sz w:val="22"/>
        </w:rPr>
        <w:t xml:space="preserve"> </w:t>
      </w:r>
    </w:p>
    <w:p>
      <w:pPr>
        <w:spacing w:before="0" w:after="0" w:line="259" w:lineRule="auto"/>
        <w:ind w:left="360" w:right="0" w:firstLine="0"/>
      </w:pPr>
      <w:r>
        <w:rPr>
          <w:sz w:val="22"/>
        </w:rPr>
        <w:t xml:space="preserve"> </w:t>
      </w:r>
    </w:p>
    <w:p>
      <w:pPr>
        <w:spacing w:before="0" w:after="0" w:line="259" w:lineRule="auto"/>
        <w:ind w:left="360" w:right="0" w:firstLine="0"/>
      </w:pPr>
      <w:r>
        <w:rPr>
          <w:sz w:val="22"/>
        </w:rPr>
        <w:t xml:space="preserve"> </w:t>
      </w:r>
    </w:p>
    <w:p>
      <w:pPr>
        <w:spacing w:before="0" w:after="0" w:line="259" w:lineRule="auto"/>
        <w:ind w:left="360" w:right="0" w:firstLine="0"/>
      </w:pPr>
      <w:r>
        <w:rPr>
          <w:sz w:val="22"/>
        </w:rPr>
        <w:t xml:space="preserve"> </w:t>
      </w:r>
    </w:p>
    <w:p>
      <w:pPr>
        <w:spacing w:before="0" w:after="0" w:line="259" w:lineRule="auto"/>
        <w:ind w:left="360" w:right="0" w:firstLine="0"/>
      </w:pPr>
      <w:r>
        <w:rPr>
          <w:sz w:val="22"/>
        </w:rPr>
        <w:t xml:space="preserve"> </w:t>
      </w:r>
    </w:p>
    <w:p>
      <w:pPr>
        <w:spacing w:before="0" w:after="0" w:line="259" w:lineRule="auto"/>
        <w:ind w:left="360" w:right="0" w:firstLine="0"/>
      </w:pPr>
      <w:r>
        <w:rPr>
          <w:sz w:val="22"/>
        </w:rPr>
        <w:t xml:space="preserve"> </w:t>
      </w:r>
    </w:p>
    <w:p>
      <w:pPr>
        <w:spacing w:before="0" w:after="0" w:line="259" w:lineRule="auto"/>
        <w:ind w:left="360" w:right="0" w:firstLine="0"/>
      </w:pPr>
      <w:r>
        <w:rPr>
          <w:sz w:val="22"/>
        </w:rPr>
        <w:t xml:space="preserve"> </w:t>
      </w:r>
    </w:p>
    <w:p>
      <w:pPr>
        <w:spacing w:before="0" w:after="0" w:line="259" w:lineRule="auto"/>
        <w:ind w:left="360" w:right="0" w:firstLine="0"/>
      </w:pPr>
      <w:r>
        <w:rPr>
          <w:sz w:val="22"/>
        </w:rPr>
        <w:t xml:space="preserve"> </w:t>
      </w:r>
    </w:p>
    <w:p>
      <w:pPr>
        <w:spacing w:before="0" w:after="0" w:line="259" w:lineRule="auto"/>
        <w:ind w:left="360" w:right="0" w:firstLine="0"/>
      </w:pPr>
      <w:r>
        <w:rPr>
          <w:sz w:val="22"/>
        </w:rPr>
        <w:t xml:space="preserve"> </w:t>
      </w:r>
    </w:p>
    <w:sectPr>
      <w:footerReference w:type="even" r:id="rId12"/>
      <w:footerReference w:type="default" r:id="rId11"/>
      <w:footerReference w:type="first" r:id="rId10"/>
      <w:pgSz w:w="15840" w:h="12240" w:orient="landscape"/>
      <w:pgMar w:left="1440" w:top="840" w:right="7848" w:bottom="1836"/>
      <w:pgNumType w:fmt="decimal"/>
      <w:cols/>
      <w:titlePg/>
    </w:sectPr>
  </w:body>
</w:document>
</file>

<file path=word/footer1.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ftr>
</file>

<file path=word/footer10.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ftr>
</file>

<file path=word/footer11.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tabs>
        <w:tab w:val="right" w:pos="6552"/>
      </w:tabs>
      <w:spacing w:before="0" w:after="0" w:line="259" w:lineRule="auto"/>
      <w:ind w:left="0" w:right="-48" w:firstLine="0"/>
      <w:jc w:val="left"/>
    </w:pPr>
    <w:r>
      <w:rPr>
        <w:rFonts w:cs="Times New Roman" w:hAnsi="Times New Roman" w:eastAsia="Times New Roman" w:ascii="Times New Roman"/>
      </w:rPr>
      <w:t xml:space="preserve"> 	</w:t>
    </w:r>
    <w:fldSimple w:instr=" PAGE   \* MERGEFORMAT ">
      <w:r>
        <w:rPr>
          <w:rFonts w:cs="Times New Roman" w:hAnsi="Times New Roman" w:eastAsia="Times New Roman" w:ascii="Times New Roman"/>
        </w:rPr>
        <w:t xml:space="preserve">16</w:t>
      </w:r>
    </w:fldSimple>
  </w:p>
</w:ftr>
</file>

<file path=word/footer12.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tabs>
        <w:tab w:val="right" w:pos="6552"/>
      </w:tabs>
      <w:spacing w:before="0" w:after="0" w:line="259" w:lineRule="auto"/>
      <w:ind w:left="0" w:right="-48" w:firstLine="0"/>
      <w:jc w:val="left"/>
    </w:pPr>
    <w:r>
      <w:rPr>
        <w:rFonts w:cs="Times New Roman" w:hAnsi="Times New Roman" w:eastAsia="Times New Roman" w:ascii="Times New Roman"/>
      </w:rPr>
      <w:t xml:space="preserve"> 	</w:t>
    </w:r>
    <w:fldSimple w:instr=" PAGE   \* MERGEFORMAT ">
      <w:r>
        <w:rPr>
          <w:rFonts w:cs="Times New Roman" w:hAnsi="Times New Roman" w:eastAsia="Times New Roman" w:ascii="Times New Roman"/>
        </w:rPr>
        <w:t xml:space="preserve">16</w:t>
      </w:r>
    </w:fldSimple>
  </w:p>
</w:ftr>
</file>

<file path=word/footer2.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ftr>
</file>

<file path=word/footer3.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tabs>
        <w:tab w:val="center" w:pos="972"/>
        <w:tab w:val="center" w:pos="5292"/>
      </w:tabs>
      <w:spacing w:before="0" w:after="0" w:line="259" w:lineRule="auto"/>
      <w:ind w:left="0" w:right="0" w:firstLine="0"/>
      <w:jc w:val="left"/>
    </w:pPr>
    <w:r>
      <w:rPr>
        <w:rFonts w:cs="Calibri" w:hAnsi="Calibri" w:eastAsia="Calibri" w:ascii="Calibri"/>
        <w:sz w:val="22"/>
      </w:rPr>
      <w:t xml:space="preserve">	</w:t>
    </w:r>
    <w:r>
      <w:rPr>
        <w:rFonts w:cs="Times New Roman" w:hAnsi="Times New Roman" w:eastAsia="Times New Roman" w:ascii="Times New Roman"/>
      </w:rPr>
      <w:t xml:space="preserve"> 	</w:t>
    </w:r>
    <w:fldSimple w:instr=" PAGE   \* MERGEFORMAT ">
      <w:r>
        <w:rPr>
          <w:rFonts w:cs="Times New Roman" w:hAnsi="Times New Roman" w:eastAsia="Times New Roman" w:ascii="Times New Roman"/>
        </w:rPr>
        <w:t xml:space="preserve">2</w:t>
      </w:r>
    </w:fldSimple>
  </w:p>
</w:ftr>
</file>

<file path=word/footer4.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ftr>
</file>

<file path=word/footer5.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ftr>
</file>

<file path=word/footer6.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ftr>
</file>

<file path=word/footer7.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tabs>
        <w:tab w:val="center" w:pos="4320"/>
      </w:tabs>
      <w:spacing w:before="0" w:after="0" w:line="259" w:lineRule="auto"/>
      <w:ind w:left="0" w:right="0" w:firstLine="0"/>
      <w:jc w:val="left"/>
    </w:pPr>
    <w:r>
      <w:rPr>
        <w:rFonts w:cs="Times New Roman" w:hAnsi="Times New Roman" w:eastAsia="Times New Roman" w:ascii="Times New Roman"/>
      </w:rPr>
      <w:t xml:space="preserve"> 	</w:t>
    </w:r>
    <w:fldSimple w:instr=" PAGE   \* MERGEFORMAT ">
      <w:r>
        <w:rPr>
          <w:rFonts w:cs="Times New Roman" w:hAnsi="Times New Roman" w:eastAsia="Times New Roman" w:ascii="Times New Roman"/>
        </w:rPr>
        <w:t xml:space="preserve">2</w:t>
      </w:r>
    </w:fldSimple>
  </w:p>
</w:ftr>
</file>

<file path=word/footer8.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tabs>
        <w:tab w:val="center" w:pos="4320"/>
      </w:tabs>
      <w:spacing w:before="0" w:after="0" w:line="259" w:lineRule="auto"/>
      <w:ind w:left="0" w:right="0" w:firstLine="0"/>
      <w:jc w:val="left"/>
    </w:pPr>
    <w:r>
      <w:rPr>
        <w:rFonts w:cs="Times New Roman" w:hAnsi="Times New Roman" w:eastAsia="Times New Roman" w:ascii="Times New Roman"/>
      </w:rPr>
      <w:t xml:space="preserve"> 	</w:t>
    </w:r>
    <w:fldSimple w:instr=" PAGE   \* MERGEFORMAT ">
      <w:r>
        <w:rPr>
          <w:rFonts w:cs="Times New Roman" w:hAnsi="Times New Roman" w:eastAsia="Times New Roman" w:ascii="Times New Roman"/>
        </w:rPr>
        <w:t xml:space="preserve">2</w:t>
      </w:r>
    </w:fldSimple>
  </w:p>
</w:ftr>
</file>

<file path=word/footer9.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tabs>
        <w:tab w:val="center" w:pos="4320"/>
      </w:tabs>
      <w:spacing w:before="0" w:after="0" w:line="259" w:lineRule="auto"/>
      <w:ind w:left="0" w:right="0" w:firstLine="0"/>
      <w:jc w:val="left"/>
    </w:pPr>
    <w:r>
      <w:rPr>
        <w:rFonts w:cs="Times New Roman" w:hAnsi="Times New Roman" w:eastAsia="Times New Roman" w:ascii="Times New Roman"/>
      </w:rPr>
      <w:t xml:space="preserve"> 	</w:t>
    </w:r>
    <w:fldSimple w:instr=" PAGE   \* MERGEFORMAT ">
      <w:r>
        <w:rPr>
          <w:rFonts w:cs="Times New Roman" w:hAnsi="Times New Roman" w:eastAsia="Times New Roman" w:ascii="Times New Roman"/>
        </w:rPr>
        <w:t xml:space="preserve">2</w:t>
      </w:r>
    </w:fldSimple>
  </w:p>
</w:ftr>
</file>

<file path=word/numbering.xml><?xml version="1.0" encoding="utf-8"?>
<w:numbering xmlns:mc="http://schemas.openxmlformats.org/markup-compatibility/2006" xmlns:w14="http://schemas.microsoft.com/office/word/2010/wordml" xmlns:wp14="http://schemas.microsoft.com/office/word/2010/wordml" xmlns:w="http://schemas.openxmlformats.org/wordprocessingml/2006/main" mc:Ignorable="w14 wp14">
  <w:abstractNum w:abstractNumId="0">
    <w:multiLevelType w:val="hybridMultilevel"/>
    <w:lvl w:ilvl="0">
      <w:start w:val="1"/>
      <w:numFmt w:val="bullet"/>
      <w:lvlText w:val="•"/>
      <w:pPr>
        <w:ind w:left="4197"/>
      </w:pPr>
      <w:rPr>
        <w:rFonts w:cs="Arial" w:hAnsi="Arial" w:eastAsia="Arial" w:ascii="Arial"/>
        <w:b w:val="0"/>
        <w:i w:val="0"/>
        <w:strike w:val="0"/>
        <w:dstrike w:val="0"/>
        <w:color w:val="000000"/>
        <w:sz w:val="20"/>
        <w:szCs w:val="20"/>
        <w:u w:val="none" w:color="000000"/>
        <w:bdr w:val="none"/>
        <w:shd w:val="clear"/>
        <w:vertAlign w:val="baseline"/>
      </w:rPr>
    </w:lvl>
    <w:lvl w:ilvl="1">
      <w:start w:val="1"/>
      <w:numFmt w:val="bullet"/>
      <w:lvlText w:val="o"/>
      <w:pPr>
        <w:ind w:left="396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2">
      <w:start w:val="1"/>
      <w:numFmt w:val="bullet"/>
      <w:lvlText w:val="▪"/>
      <w:pPr>
        <w:ind w:left="468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3">
      <w:start w:val="1"/>
      <w:numFmt w:val="bullet"/>
      <w:lvlText w:val="•"/>
      <w:pPr>
        <w:ind w:left="5400"/>
      </w:pPr>
      <w:rPr>
        <w:rFonts w:cs="Arial" w:hAnsi="Arial" w:eastAsia="Arial" w:ascii="Arial"/>
        <w:b w:val="0"/>
        <w:i w:val="0"/>
        <w:strike w:val="0"/>
        <w:dstrike w:val="0"/>
        <w:color w:val="000000"/>
        <w:sz w:val="20"/>
        <w:szCs w:val="20"/>
        <w:u w:val="none" w:color="000000"/>
        <w:bdr w:val="none"/>
        <w:shd w:val="clear"/>
        <w:vertAlign w:val="baseline"/>
      </w:rPr>
    </w:lvl>
    <w:lvl w:ilvl="4">
      <w:start w:val="1"/>
      <w:numFmt w:val="bullet"/>
      <w:lvlText w:val="o"/>
      <w:pPr>
        <w:ind w:left="612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5">
      <w:start w:val="1"/>
      <w:numFmt w:val="bullet"/>
      <w:lvlText w:val="▪"/>
      <w:pPr>
        <w:ind w:left="684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6">
      <w:start w:val="1"/>
      <w:numFmt w:val="bullet"/>
      <w:lvlText w:val="•"/>
      <w:pPr>
        <w:ind w:left="7560"/>
      </w:pPr>
      <w:rPr>
        <w:rFonts w:cs="Arial" w:hAnsi="Arial" w:eastAsia="Arial" w:ascii="Arial"/>
        <w:b w:val="0"/>
        <w:i w:val="0"/>
        <w:strike w:val="0"/>
        <w:dstrike w:val="0"/>
        <w:color w:val="000000"/>
        <w:sz w:val="20"/>
        <w:szCs w:val="20"/>
        <w:u w:val="none" w:color="000000"/>
        <w:bdr w:val="none"/>
        <w:shd w:val="clear"/>
        <w:vertAlign w:val="baseline"/>
      </w:rPr>
    </w:lvl>
    <w:lvl w:ilvl="7">
      <w:start w:val="1"/>
      <w:numFmt w:val="bullet"/>
      <w:lvlText w:val="o"/>
      <w:pPr>
        <w:ind w:left="828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8">
      <w:start w:val="1"/>
      <w:numFmt w:val="bullet"/>
      <w:lvlText w:val="▪"/>
      <w:pPr>
        <w:ind w:left="900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abstractNum>
  <w:abstractNum w:abstractNumId="1">
    <w:multiLevelType w:val="hybridMultilevel"/>
    <w:lvl w:ilvl="0">
      <w:start w:val="2"/>
      <w:numFmt w:val="decimal"/>
      <w:lvlText w:val="%1."/>
      <w:pPr>
        <w:ind w:left="242"/>
      </w:pPr>
      <w:rPr>
        <w:rFonts w:cs="Calibri" w:hAnsi="Calibri" w:eastAsia="Calibri" w:ascii="Calibri"/>
        <w:b w:val="0"/>
        <w:i w:val="0"/>
        <w:strike w:val="0"/>
        <w:dstrike w:val="0"/>
        <w:color w:val="000000"/>
        <w:sz w:val="24"/>
        <w:szCs w:val="24"/>
        <w:u w:val="none" w:color="000000"/>
        <w:bdr w:val="none"/>
        <w:shd w:val="clear"/>
        <w:vertAlign w:val="baseline"/>
      </w:rPr>
    </w:lvl>
    <w:lvl w:ilvl="1">
      <w:start w:val="1"/>
      <w:numFmt w:val="lowerLetter"/>
      <w:lvlText w:val="%2"/>
      <w:pPr>
        <w:ind w:left="1080"/>
      </w:pPr>
      <w:rPr>
        <w:rFonts w:cs="Calibri" w:hAnsi="Calibri" w:eastAsia="Calibri" w:ascii="Calibri"/>
        <w:b w:val="0"/>
        <w:i w:val="0"/>
        <w:strike w:val="0"/>
        <w:dstrike w:val="0"/>
        <w:color w:val="000000"/>
        <w:sz w:val="24"/>
        <w:szCs w:val="24"/>
        <w:u w:val="none" w:color="000000"/>
        <w:bdr w:val="none"/>
        <w:shd w:val="clear"/>
        <w:vertAlign w:val="baseline"/>
      </w:rPr>
    </w:lvl>
    <w:lvl w:ilvl="2">
      <w:start w:val="1"/>
      <w:numFmt w:val="lowerRoman"/>
      <w:lvlText w:val="%3"/>
      <w:pPr>
        <w:ind w:left="1800"/>
      </w:pPr>
      <w:rPr>
        <w:rFonts w:cs="Calibri" w:hAnsi="Calibri" w:eastAsia="Calibri" w:ascii="Calibri"/>
        <w:b w:val="0"/>
        <w:i w:val="0"/>
        <w:strike w:val="0"/>
        <w:dstrike w:val="0"/>
        <w:color w:val="000000"/>
        <w:sz w:val="24"/>
        <w:szCs w:val="24"/>
        <w:u w:val="none" w:color="000000"/>
        <w:bdr w:val="none"/>
        <w:shd w:val="clear"/>
        <w:vertAlign w:val="baseline"/>
      </w:rPr>
    </w:lvl>
    <w:lvl w:ilvl="3">
      <w:start w:val="1"/>
      <w:numFmt w:val="decimal"/>
      <w:lvlText w:val="%4"/>
      <w:pPr>
        <w:ind w:left="2520"/>
      </w:pPr>
      <w:rPr>
        <w:rFonts w:cs="Calibri" w:hAnsi="Calibri" w:eastAsia="Calibri" w:ascii="Calibri"/>
        <w:b w:val="0"/>
        <w:i w:val="0"/>
        <w:strike w:val="0"/>
        <w:dstrike w:val="0"/>
        <w:color w:val="000000"/>
        <w:sz w:val="24"/>
        <w:szCs w:val="24"/>
        <w:u w:val="none" w:color="000000"/>
        <w:bdr w:val="none"/>
        <w:shd w:val="clear"/>
        <w:vertAlign w:val="baseline"/>
      </w:rPr>
    </w:lvl>
    <w:lvl w:ilvl="4">
      <w:start w:val="1"/>
      <w:numFmt w:val="lowerLetter"/>
      <w:lvlText w:val="%5"/>
      <w:pPr>
        <w:ind w:left="3240"/>
      </w:pPr>
      <w:rPr>
        <w:rFonts w:cs="Calibri" w:hAnsi="Calibri" w:eastAsia="Calibri" w:ascii="Calibri"/>
        <w:b w:val="0"/>
        <w:i w:val="0"/>
        <w:strike w:val="0"/>
        <w:dstrike w:val="0"/>
        <w:color w:val="000000"/>
        <w:sz w:val="24"/>
        <w:szCs w:val="24"/>
        <w:u w:val="none" w:color="000000"/>
        <w:bdr w:val="none"/>
        <w:shd w:val="clear"/>
        <w:vertAlign w:val="baseline"/>
      </w:rPr>
    </w:lvl>
    <w:lvl w:ilvl="5">
      <w:start w:val="1"/>
      <w:numFmt w:val="lowerRoman"/>
      <w:lvlText w:val="%6"/>
      <w:pPr>
        <w:ind w:left="3960"/>
      </w:pPr>
      <w:rPr>
        <w:rFonts w:cs="Calibri" w:hAnsi="Calibri" w:eastAsia="Calibri" w:ascii="Calibri"/>
        <w:b w:val="0"/>
        <w:i w:val="0"/>
        <w:strike w:val="0"/>
        <w:dstrike w:val="0"/>
        <w:color w:val="000000"/>
        <w:sz w:val="24"/>
        <w:szCs w:val="24"/>
        <w:u w:val="none" w:color="000000"/>
        <w:bdr w:val="none"/>
        <w:shd w:val="clear"/>
        <w:vertAlign w:val="baseline"/>
      </w:rPr>
    </w:lvl>
    <w:lvl w:ilvl="6">
      <w:start w:val="1"/>
      <w:numFmt w:val="decimal"/>
      <w:lvlText w:val="%7"/>
      <w:pPr>
        <w:ind w:left="4680"/>
      </w:pPr>
      <w:rPr>
        <w:rFonts w:cs="Calibri" w:hAnsi="Calibri" w:eastAsia="Calibri" w:ascii="Calibri"/>
        <w:b w:val="0"/>
        <w:i w:val="0"/>
        <w:strike w:val="0"/>
        <w:dstrike w:val="0"/>
        <w:color w:val="000000"/>
        <w:sz w:val="24"/>
        <w:szCs w:val="24"/>
        <w:u w:val="none" w:color="000000"/>
        <w:bdr w:val="none"/>
        <w:shd w:val="clear"/>
        <w:vertAlign w:val="baseline"/>
      </w:rPr>
    </w:lvl>
    <w:lvl w:ilvl="7">
      <w:start w:val="1"/>
      <w:numFmt w:val="lowerLetter"/>
      <w:lvlText w:val="%8"/>
      <w:pPr>
        <w:ind w:left="5400"/>
      </w:pPr>
      <w:rPr>
        <w:rFonts w:cs="Calibri" w:hAnsi="Calibri" w:eastAsia="Calibri" w:ascii="Calibri"/>
        <w:b w:val="0"/>
        <w:i w:val="0"/>
        <w:strike w:val="0"/>
        <w:dstrike w:val="0"/>
        <w:color w:val="000000"/>
        <w:sz w:val="24"/>
        <w:szCs w:val="24"/>
        <w:u w:val="none" w:color="000000"/>
        <w:bdr w:val="none"/>
        <w:shd w:val="clear"/>
        <w:vertAlign w:val="baseline"/>
      </w:rPr>
    </w:lvl>
    <w:lvl w:ilvl="8">
      <w:start w:val="1"/>
      <w:numFmt w:val="lowerRoman"/>
      <w:lvlText w:val="%9"/>
      <w:pPr>
        <w:ind w:left="6120"/>
      </w:pPr>
      <w:rPr>
        <w:rFonts w:cs="Calibri" w:hAnsi="Calibri" w:eastAsia="Calibri" w:ascii="Calibri"/>
        <w:b w:val="0"/>
        <w:i w:val="0"/>
        <w:strike w:val="0"/>
        <w:dstrike w:val="0"/>
        <w:color w:val="000000"/>
        <w:sz w:val="24"/>
        <w:szCs w:val="24"/>
        <w:u w:val="none" w:color="000000"/>
        <w:bdr w:val="none"/>
        <w:shd w:val="clear"/>
        <w:vertAlign w:val="baseline"/>
      </w:rPr>
    </w:lvl>
  </w:abstractNum>
  <w:abstractNum w:abstractNumId="2">
    <w:multiLevelType w:val="hybridMultilevel"/>
    <w:lvl w:ilvl="0">
      <w:start w:val="1"/>
      <w:numFmt w:val="decimal"/>
      <w:lvlText w:val="%1"/>
      <w:pPr>
        <w:ind w:left="360"/>
      </w:pPr>
      <w:rPr>
        <w:rFonts w:cs="Calibri" w:hAnsi="Calibri" w:eastAsia="Calibri" w:ascii="Calibri"/>
        <w:b w:val="0"/>
        <w:i w:val="0"/>
        <w:strike w:val="0"/>
        <w:dstrike w:val="0"/>
        <w:color w:val="000000"/>
        <w:sz w:val="24"/>
        <w:szCs w:val="24"/>
        <w:u w:val="none" w:color="000000"/>
        <w:bdr w:val="none"/>
        <w:shd w:val="clear"/>
        <w:vertAlign w:val="baseline"/>
      </w:rPr>
    </w:lvl>
    <w:lvl w:ilvl="1">
      <w:start w:val="1"/>
      <w:numFmt w:val="decimal"/>
      <w:lvlRestart w:val="0"/>
      <w:lvlText w:val="%2)"/>
      <w:pPr>
        <w:ind w:left="720"/>
      </w:pPr>
      <w:rPr>
        <w:rFonts w:cs="Calibri" w:hAnsi="Calibri" w:eastAsia="Calibri" w:ascii="Calibri"/>
        <w:b w:val="0"/>
        <w:i w:val="0"/>
        <w:strike w:val="0"/>
        <w:dstrike w:val="0"/>
        <w:color w:val="000000"/>
        <w:sz w:val="24"/>
        <w:szCs w:val="24"/>
        <w:u w:val="none" w:color="000000"/>
        <w:bdr w:val="none"/>
        <w:shd w:val="clear"/>
        <w:vertAlign w:val="baseline"/>
      </w:rPr>
    </w:lvl>
    <w:lvl w:ilvl="2">
      <w:start w:val="1"/>
      <w:numFmt w:val="lowerRoman"/>
      <w:lvlText w:val="%3"/>
      <w:pPr>
        <w:ind w:left="1440"/>
      </w:pPr>
      <w:rPr>
        <w:rFonts w:cs="Calibri" w:hAnsi="Calibri" w:eastAsia="Calibri" w:ascii="Calibri"/>
        <w:b w:val="0"/>
        <w:i w:val="0"/>
        <w:strike w:val="0"/>
        <w:dstrike w:val="0"/>
        <w:color w:val="000000"/>
        <w:sz w:val="24"/>
        <w:szCs w:val="24"/>
        <w:u w:val="none" w:color="000000"/>
        <w:bdr w:val="none"/>
        <w:shd w:val="clear"/>
        <w:vertAlign w:val="baseline"/>
      </w:rPr>
    </w:lvl>
    <w:lvl w:ilvl="3">
      <w:start w:val="1"/>
      <w:numFmt w:val="decimal"/>
      <w:lvlText w:val="%4"/>
      <w:pPr>
        <w:ind w:left="2160"/>
      </w:pPr>
      <w:rPr>
        <w:rFonts w:cs="Calibri" w:hAnsi="Calibri" w:eastAsia="Calibri" w:ascii="Calibri"/>
        <w:b w:val="0"/>
        <w:i w:val="0"/>
        <w:strike w:val="0"/>
        <w:dstrike w:val="0"/>
        <w:color w:val="000000"/>
        <w:sz w:val="24"/>
        <w:szCs w:val="24"/>
        <w:u w:val="none" w:color="000000"/>
        <w:bdr w:val="none"/>
        <w:shd w:val="clear"/>
        <w:vertAlign w:val="baseline"/>
      </w:rPr>
    </w:lvl>
    <w:lvl w:ilvl="4">
      <w:start w:val="1"/>
      <w:numFmt w:val="lowerLetter"/>
      <w:lvlText w:val="%5"/>
      <w:pPr>
        <w:ind w:left="2880"/>
      </w:pPr>
      <w:rPr>
        <w:rFonts w:cs="Calibri" w:hAnsi="Calibri" w:eastAsia="Calibri" w:ascii="Calibri"/>
        <w:b w:val="0"/>
        <w:i w:val="0"/>
        <w:strike w:val="0"/>
        <w:dstrike w:val="0"/>
        <w:color w:val="000000"/>
        <w:sz w:val="24"/>
        <w:szCs w:val="24"/>
        <w:u w:val="none" w:color="000000"/>
        <w:bdr w:val="none"/>
        <w:shd w:val="clear"/>
        <w:vertAlign w:val="baseline"/>
      </w:rPr>
    </w:lvl>
    <w:lvl w:ilvl="5">
      <w:start w:val="1"/>
      <w:numFmt w:val="lowerRoman"/>
      <w:lvlText w:val="%6"/>
      <w:pPr>
        <w:ind w:left="3600"/>
      </w:pPr>
      <w:rPr>
        <w:rFonts w:cs="Calibri" w:hAnsi="Calibri" w:eastAsia="Calibri" w:ascii="Calibri"/>
        <w:b w:val="0"/>
        <w:i w:val="0"/>
        <w:strike w:val="0"/>
        <w:dstrike w:val="0"/>
        <w:color w:val="000000"/>
        <w:sz w:val="24"/>
        <w:szCs w:val="24"/>
        <w:u w:val="none" w:color="000000"/>
        <w:bdr w:val="none"/>
        <w:shd w:val="clear"/>
        <w:vertAlign w:val="baseline"/>
      </w:rPr>
    </w:lvl>
    <w:lvl w:ilvl="6">
      <w:start w:val="1"/>
      <w:numFmt w:val="decimal"/>
      <w:lvlText w:val="%7"/>
      <w:pPr>
        <w:ind w:left="4320"/>
      </w:pPr>
      <w:rPr>
        <w:rFonts w:cs="Calibri" w:hAnsi="Calibri" w:eastAsia="Calibri" w:ascii="Calibri"/>
        <w:b w:val="0"/>
        <w:i w:val="0"/>
        <w:strike w:val="0"/>
        <w:dstrike w:val="0"/>
        <w:color w:val="000000"/>
        <w:sz w:val="24"/>
        <w:szCs w:val="24"/>
        <w:u w:val="none" w:color="000000"/>
        <w:bdr w:val="none"/>
        <w:shd w:val="clear"/>
        <w:vertAlign w:val="baseline"/>
      </w:rPr>
    </w:lvl>
    <w:lvl w:ilvl="7">
      <w:start w:val="1"/>
      <w:numFmt w:val="lowerLetter"/>
      <w:lvlText w:val="%8"/>
      <w:pPr>
        <w:ind w:left="5040"/>
      </w:pPr>
      <w:rPr>
        <w:rFonts w:cs="Calibri" w:hAnsi="Calibri" w:eastAsia="Calibri" w:ascii="Calibri"/>
        <w:b w:val="0"/>
        <w:i w:val="0"/>
        <w:strike w:val="0"/>
        <w:dstrike w:val="0"/>
        <w:color w:val="000000"/>
        <w:sz w:val="24"/>
        <w:szCs w:val="24"/>
        <w:u w:val="none" w:color="000000"/>
        <w:bdr w:val="none"/>
        <w:shd w:val="clear"/>
        <w:vertAlign w:val="baseline"/>
      </w:rPr>
    </w:lvl>
    <w:lvl w:ilvl="8">
      <w:start w:val="1"/>
      <w:numFmt w:val="lowerRoman"/>
      <w:lvlText w:val="%9"/>
      <w:pPr>
        <w:ind w:left="5760"/>
      </w:pPr>
      <w:rPr>
        <w:rFonts w:cs="Calibri" w:hAnsi="Calibri" w:eastAsia="Calibri" w:ascii="Calibri"/>
        <w:b w:val="0"/>
        <w:i w:val="0"/>
        <w:strike w:val="0"/>
        <w:dstrike w:val="0"/>
        <w:color w:val="000000"/>
        <w:sz w:val="24"/>
        <w:szCs w:val="24"/>
        <w:u w:val="none" w:color="000000"/>
        <w:bdr w:val="none"/>
        <w:shd w:val="clear"/>
        <w:vertAlign w:val="baseline"/>
      </w:rPr>
    </w:lvl>
  </w:abstractNum>
  <w:abstractNum w:abstractNumId="3">
    <w:multiLevelType w:val="multilevel"/>
    <w:lvl w:ilvl="0">
      <w:start w:val="5"/>
      <w:numFmt w:val="decimal"/>
      <w:lvlText w:val="%1."/>
      <w:pPr>
        <w:ind w:left="353"/>
      </w:pPr>
      <w:rPr>
        <w:rFonts w:cs="Calibri" w:hAnsi="Calibri" w:eastAsia="Calibri" w:ascii="Calibri"/>
        <w:b w:val="0"/>
        <w:i w:val="0"/>
        <w:strike w:val="0"/>
        <w:dstrike w:val="0"/>
        <w:color w:val="000000"/>
        <w:sz w:val="24"/>
        <w:szCs w:val="24"/>
        <w:u w:val="none" w:color="000000"/>
        <w:bdr w:val="none"/>
        <w:shd w:val="clear"/>
        <w:vertAlign w:val="baseline"/>
      </w:rPr>
    </w:lvl>
    <w:lvl w:ilvl="1">
      <w:start w:val="1"/>
      <w:numFmt w:val="decimal"/>
      <w:lvlText w:val="%1.%2"/>
      <w:pPr>
        <w:ind w:left="1085"/>
      </w:pPr>
      <w:rPr>
        <w:rFonts w:cs="Calibri" w:hAnsi="Calibri" w:eastAsia="Calibri" w:ascii="Calibri"/>
        <w:b w:val="0"/>
        <w:i w:val="0"/>
        <w:strike w:val="0"/>
        <w:dstrike w:val="0"/>
        <w:color w:val="000000"/>
        <w:sz w:val="24"/>
        <w:szCs w:val="24"/>
        <w:u w:val="none" w:color="000000"/>
        <w:bdr w:val="none"/>
        <w:shd w:val="clear"/>
        <w:vertAlign w:val="baseline"/>
      </w:rPr>
    </w:lvl>
    <w:lvl w:ilvl="2">
      <w:start w:val="1"/>
      <w:numFmt w:val="decimal"/>
      <w:lvlText w:val="%1.%2.%3"/>
      <w:pPr>
        <w:ind w:left="1990"/>
      </w:pPr>
      <w:rPr>
        <w:rFonts w:cs="Calibri" w:hAnsi="Calibri" w:eastAsia="Calibri" w:ascii="Calibri"/>
        <w:b w:val="0"/>
        <w:i w:val="0"/>
        <w:strike w:val="0"/>
        <w:dstrike w:val="0"/>
        <w:color w:val="000000"/>
        <w:sz w:val="24"/>
        <w:szCs w:val="24"/>
        <w:u w:val="none" w:color="000000"/>
        <w:bdr w:val="none"/>
        <w:shd w:val="clear"/>
        <w:vertAlign w:val="baseline"/>
      </w:rPr>
    </w:lvl>
    <w:lvl w:ilvl="3">
      <w:start w:val="1"/>
      <w:numFmt w:val="decimal"/>
      <w:lvlText w:val="%4"/>
      <w:pPr>
        <w:ind w:left="1080"/>
      </w:pPr>
      <w:rPr>
        <w:rFonts w:cs="Calibri" w:hAnsi="Calibri" w:eastAsia="Calibri" w:ascii="Calibri"/>
        <w:b w:val="0"/>
        <w:i w:val="0"/>
        <w:strike w:val="0"/>
        <w:dstrike w:val="0"/>
        <w:color w:val="000000"/>
        <w:sz w:val="24"/>
        <w:szCs w:val="24"/>
        <w:u w:val="none" w:color="000000"/>
        <w:bdr w:val="none"/>
        <w:shd w:val="clear"/>
        <w:vertAlign w:val="baseline"/>
      </w:rPr>
    </w:lvl>
    <w:lvl w:ilvl="4">
      <w:start w:val="1"/>
      <w:numFmt w:val="lowerLetter"/>
      <w:lvlText w:val="%5"/>
      <w:pPr>
        <w:ind w:left="1800"/>
      </w:pPr>
      <w:rPr>
        <w:rFonts w:cs="Calibri" w:hAnsi="Calibri" w:eastAsia="Calibri" w:ascii="Calibri"/>
        <w:b w:val="0"/>
        <w:i w:val="0"/>
        <w:strike w:val="0"/>
        <w:dstrike w:val="0"/>
        <w:color w:val="000000"/>
        <w:sz w:val="24"/>
        <w:szCs w:val="24"/>
        <w:u w:val="none" w:color="000000"/>
        <w:bdr w:val="none"/>
        <w:shd w:val="clear"/>
        <w:vertAlign w:val="baseline"/>
      </w:rPr>
    </w:lvl>
    <w:lvl w:ilvl="5">
      <w:start w:val="1"/>
      <w:numFmt w:val="lowerRoman"/>
      <w:lvlText w:val="%6"/>
      <w:pPr>
        <w:ind w:left="2520"/>
      </w:pPr>
      <w:rPr>
        <w:rFonts w:cs="Calibri" w:hAnsi="Calibri" w:eastAsia="Calibri" w:ascii="Calibri"/>
        <w:b w:val="0"/>
        <w:i w:val="0"/>
        <w:strike w:val="0"/>
        <w:dstrike w:val="0"/>
        <w:color w:val="000000"/>
        <w:sz w:val="24"/>
        <w:szCs w:val="24"/>
        <w:u w:val="none" w:color="000000"/>
        <w:bdr w:val="none"/>
        <w:shd w:val="clear"/>
        <w:vertAlign w:val="baseline"/>
      </w:rPr>
    </w:lvl>
    <w:lvl w:ilvl="6">
      <w:start w:val="1"/>
      <w:numFmt w:val="decimal"/>
      <w:lvlText w:val="%7"/>
      <w:pPr>
        <w:ind w:left="3240"/>
      </w:pPr>
      <w:rPr>
        <w:rFonts w:cs="Calibri" w:hAnsi="Calibri" w:eastAsia="Calibri" w:ascii="Calibri"/>
        <w:b w:val="0"/>
        <w:i w:val="0"/>
        <w:strike w:val="0"/>
        <w:dstrike w:val="0"/>
        <w:color w:val="000000"/>
        <w:sz w:val="24"/>
        <w:szCs w:val="24"/>
        <w:u w:val="none" w:color="000000"/>
        <w:bdr w:val="none"/>
        <w:shd w:val="clear"/>
        <w:vertAlign w:val="baseline"/>
      </w:rPr>
    </w:lvl>
    <w:lvl w:ilvl="7">
      <w:start w:val="1"/>
      <w:numFmt w:val="lowerLetter"/>
      <w:lvlText w:val="%8"/>
      <w:pPr>
        <w:ind w:left="3960"/>
      </w:pPr>
      <w:rPr>
        <w:rFonts w:cs="Calibri" w:hAnsi="Calibri" w:eastAsia="Calibri" w:ascii="Calibri"/>
        <w:b w:val="0"/>
        <w:i w:val="0"/>
        <w:strike w:val="0"/>
        <w:dstrike w:val="0"/>
        <w:color w:val="000000"/>
        <w:sz w:val="24"/>
        <w:szCs w:val="24"/>
        <w:u w:val="none" w:color="000000"/>
        <w:bdr w:val="none"/>
        <w:shd w:val="clear"/>
        <w:vertAlign w:val="baseline"/>
      </w:rPr>
    </w:lvl>
    <w:lvl w:ilvl="8">
      <w:start w:val="1"/>
      <w:numFmt w:val="lowerRoman"/>
      <w:lvlText w:val="%9"/>
      <w:pPr>
        <w:ind w:left="4680"/>
      </w:pPr>
      <w:rPr>
        <w:rFonts w:cs="Calibri" w:hAnsi="Calibri" w:eastAsia="Calibri" w:ascii="Calibri"/>
        <w:b w:val="0"/>
        <w:i w:val="0"/>
        <w:strike w:val="0"/>
        <w:dstrike w:val="0"/>
        <w:color w:val="000000"/>
        <w:sz w:val="24"/>
        <w:szCs w:val="24"/>
        <w:u w:val="none" w:color="000000"/>
        <w:bdr w:val="none"/>
        <w:shd w:val="clear"/>
        <w:vertAlign w:val="baseline"/>
      </w:rPr>
    </w:lvl>
  </w:abstractNum>
  <w:abstractNum w:abstractNumId="4">
    <w:multiLevelType w:val="hybridMultilevel"/>
    <w:lvl w:ilvl="0">
      <w:start w:val="1"/>
      <w:numFmt w:val="bullet"/>
      <w:lvlText w:val="•"/>
      <w:pPr>
        <w:ind w:left="360"/>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bullet"/>
      <w:lvlText w:val="o"/>
      <w:pPr>
        <w:ind w:left="48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2">
      <w:start w:val="1"/>
      <w:numFmt w:val="bullet"/>
      <w:lvlText w:val="▪"/>
      <w:pPr>
        <w:ind w:left="60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3">
      <w:start w:val="1"/>
      <w:numFmt w:val="bullet"/>
      <w:lvlRestart w:val="0"/>
      <w:lvlText w:val="•"/>
      <w:pPr>
        <w:ind w:left="720"/>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144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5">
      <w:start w:val="1"/>
      <w:numFmt w:val="bullet"/>
      <w:lvlText w:val="▪"/>
      <w:pPr>
        <w:ind w:left="216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6">
      <w:start w:val="1"/>
      <w:numFmt w:val="bullet"/>
      <w:lvlText w:val="•"/>
      <w:pPr>
        <w:ind w:left="2880"/>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360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8">
      <w:start w:val="1"/>
      <w:numFmt w:val="bullet"/>
      <w:lvlText w:val="▪"/>
      <w:pPr>
        <w:ind w:left="432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abstractNum>
  <w:abstractNum w:abstractNumId="5">
    <w:multiLevelType w:val="hybridMultilevel"/>
    <w:lvl w:ilvl="0">
      <w:start w:val="1"/>
      <w:numFmt w:val="lowerLetter"/>
      <w:lvlText w:val="%1)"/>
      <w:pPr>
        <w:ind w:left="360"/>
      </w:pPr>
      <w:rPr>
        <w:rFonts w:cs="Calibri" w:hAnsi="Calibri" w:eastAsia="Calibri" w:ascii="Calibri"/>
        <w:b w:val="0"/>
        <w:i w:val="0"/>
        <w:strike w:val="0"/>
        <w:dstrike w:val="0"/>
        <w:color w:val="000000"/>
        <w:sz w:val="20"/>
        <w:szCs w:val="20"/>
        <w:u w:val="none" w:color="000000"/>
        <w:bdr w:val="none"/>
        <w:shd w:val="clear"/>
        <w:vertAlign w:val="baseline"/>
      </w:rPr>
    </w:lvl>
    <w:lvl w:ilvl="1">
      <w:start w:val="1"/>
      <w:numFmt w:val="lowerLetter"/>
      <w:lvlText w:val="%2"/>
      <w:pPr>
        <w:ind w:left="1080"/>
      </w:pPr>
      <w:rPr>
        <w:rFonts w:cs="Calibri" w:hAnsi="Calibri" w:eastAsia="Calibri" w:ascii="Calibri"/>
        <w:b w:val="0"/>
        <w:i w:val="0"/>
        <w:strike w:val="0"/>
        <w:dstrike w:val="0"/>
        <w:color w:val="000000"/>
        <w:sz w:val="20"/>
        <w:szCs w:val="20"/>
        <w:u w:val="none" w:color="000000"/>
        <w:bdr w:val="none"/>
        <w:shd w:val="clear"/>
        <w:vertAlign w:val="baseline"/>
      </w:rPr>
    </w:lvl>
    <w:lvl w:ilvl="2">
      <w:start w:val="1"/>
      <w:numFmt w:val="lowerRoman"/>
      <w:lvlText w:val="%3"/>
      <w:pPr>
        <w:ind w:left="1800"/>
      </w:pPr>
      <w:rPr>
        <w:rFonts w:cs="Calibri" w:hAnsi="Calibri" w:eastAsia="Calibri" w:ascii="Calibri"/>
        <w:b w:val="0"/>
        <w:i w:val="0"/>
        <w:strike w:val="0"/>
        <w:dstrike w:val="0"/>
        <w:color w:val="000000"/>
        <w:sz w:val="20"/>
        <w:szCs w:val="20"/>
        <w:u w:val="none" w:color="000000"/>
        <w:bdr w:val="none"/>
        <w:shd w:val="clear"/>
        <w:vertAlign w:val="baseline"/>
      </w:rPr>
    </w:lvl>
    <w:lvl w:ilvl="3">
      <w:start w:val="1"/>
      <w:numFmt w:val="decimal"/>
      <w:lvlText w:val="%4"/>
      <w:pPr>
        <w:ind w:left="2520"/>
      </w:pPr>
      <w:rPr>
        <w:rFonts w:cs="Calibri" w:hAnsi="Calibri" w:eastAsia="Calibri" w:ascii="Calibri"/>
        <w:b w:val="0"/>
        <w:i w:val="0"/>
        <w:strike w:val="0"/>
        <w:dstrike w:val="0"/>
        <w:color w:val="000000"/>
        <w:sz w:val="20"/>
        <w:szCs w:val="20"/>
        <w:u w:val="none" w:color="000000"/>
        <w:bdr w:val="none"/>
        <w:shd w:val="clear"/>
        <w:vertAlign w:val="baseline"/>
      </w:rPr>
    </w:lvl>
    <w:lvl w:ilvl="4">
      <w:start w:val="1"/>
      <w:numFmt w:val="lowerLetter"/>
      <w:lvlText w:val="%5"/>
      <w:pPr>
        <w:ind w:left="3240"/>
      </w:pPr>
      <w:rPr>
        <w:rFonts w:cs="Calibri" w:hAnsi="Calibri" w:eastAsia="Calibri" w:ascii="Calibri"/>
        <w:b w:val="0"/>
        <w:i w:val="0"/>
        <w:strike w:val="0"/>
        <w:dstrike w:val="0"/>
        <w:color w:val="000000"/>
        <w:sz w:val="20"/>
        <w:szCs w:val="20"/>
        <w:u w:val="none" w:color="000000"/>
        <w:bdr w:val="none"/>
        <w:shd w:val="clear"/>
        <w:vertAlign w:val="baseline"/>
      </w:rPr>
    </w:lvl>
    <w:lvl w:ilvl="5">
      <w:start w:val="1"/>
      <w:numFmt w:val="lowerRoman"/>
      <w:lvlText w:val="%6"/>
      <w:pPr>
        <w:ind w:left="3960"/>
      </w:pPr>
      <w:rPr>
        <w:rFonts w:cs="Calibri" w:hAnsi="Calibri" w:eastAsia="Calibri" w:ascii="Calibri"/>
        <w:b w:val="0"/>
        <w:i w:val="0"/>
        <w:strike w:val="0"/>
        <w:dstrike w:val="0"/>
        <w:color w:val="000000"/>
        <w:sz w:val="20"/>
        <w:szCs w:val="20"/>
        <w:u w:val="none" w:color="000000"/>
        <w:bdr w:val="none"/>
        <w:shd w:val="clear"/>
        <w:vertAlign w:val="baseline"/>
      </w:rPr>
    </w:lvl>
    <w:lvl w:ilvl="6">
      <w:start w:val="1"/>
      <w:numFmt w:val="decimal"/>
      <w:lvlText w:val="%7"/>
      <w:pPr>
        <w:ind w:left="4680"/>
      </w:pPr>
      <w:rPr>
        <w:rFonts w:cs="Calibri" w:hAnsi="Calibri" w:eastAsia="Calibri" w:ascii="Calibri"/>
        <w:b w:val="0"/>
        <w:i w:val="0"/>
        <w:strike w:val="0"/>
        <w:dstrike w:val="0"/>
        <w:color w:val="000000"/>
        <w:sz w:val="20"/>
        <w:szCs w:val="20"/>
        <w:u w:val="none" w:color="000000"/>
        <w:bdr w:val="none"/>
        <w:shd w:val="clear"/>
        <w:vertAlign w:val="baseline"/>
      </w:rPr>
    </w:lvl>
    <w:lvl w:ilvl="7">
      <w:start w:val="1"/>
      <w:numFmt w:val="lowerLetter"/>
      <w:lvlText w:val="%8"/>
      <w:pPr>
        <w:ind w:left="5400"/>
      </w:pPr>
      <w:rPr>
        <w:rFonts w:cs="Calibri" w:hAnsi="Calibri" w:eastAsia="Calibri" w:ascii="Calibri"/>
        <w:b w:val="0"/>
        <w:i w:val="0"/>
        <w:strike w:val="0"/>
        <w:dstrike w:val="0"/>
        <w:color w:val="000000"/>
        <w:sz w:val="20"/>
        <w:szCs w:val="20"/>
        <w:u w:val="none" w:color="000000"/>
        <w:bdr w:val="none"/>
        <w:shd w:val="clear"/>
        <w:vertAlign w:val="baseline"/>
      </w:rPr>
    </w:lvl>
    <w:lvl w:ilvl="8">
      <w:start w:val="1"/>
      <w:numFmt w:val="lowerRoman"/>
      <w:lvlText w:val="%9"/>
      <w:pPr>
        <w:ind w:left="6120"/>
      </w:pPr>
      <w:rPr>
        <w:rFonts w:cs="Calibri" w:hAnsi="Calibri" w:eastAsia="Calibri" w:ascii="Calibri"/>
        <w:b w:val="0"/>
        <w:i w:val="0"/>
        <w:strike w:val="0"/>
        <w:dstrike w:val="0"/>
        <w:color w:val="000000"/>
        <w:sz w:val="20"/>
        <w:szCs w:val="20"/>
        <w:u w:val="none" w:color="000000"/>
        <w:bdr w:val="none"/>
        <w:shd w:val="clear"/>
        <w:vertAlign w:val="baseline"/>
      </w:rPr>
    </w:lvl>
  </w:abstractNum>
  <w:abstractNum w:abstractNumId="6">
    <w:multiLevelType w:val="hybridMultilevel"/>
    <w:lvl w:ilvl="0">
      <w:start w:val="1"/>
      <w:numFmt w:val="decimal"/>
      <w:lvlText w:val="%1)"/>
      <w:pPr>
        <w:ind w:left="466"/>
      </w:pPr>
      <w:rPr>
        <w:rFonts w:cs="Calibri" w:hAnsi="Calibri" w:eastAsia="Calibri" w:ascii="Calibri"/>
        <w:b w:val="0"/>
        <w:i w:val="0"/>
        <w:strike w:val="0"/>
        <w:dstrike w:val="0"/>
        <w:color w:val="000000"/>
        <w:sz w:val="18"/>
        <w:szCs w:val="18"/>
        <w:u w:val="none" w:color="000000"/>
        <w:bdr w:val="none"/>
        <w:shd w:val="clear"/>
        <w:vertAlign w:val="baseline"/>
      </w:rPr>
    </w:lvl>
    <w:lvl w:ilvl="1">
      <w:start w:val="1"/>
      <w:numFmt w:val="lowerLetter"/>
      <w:lvlText w:val="%2"/>
      <w:pPr>
        <w:ind w:left="1186"/>
      </w:pPr>
      <w:rPr>
        <w:rFonts w:cs="Calibri" w:hAnsi="Calibri" w:eastAsia="Calibri" w:ascii="Calibri"/>
        <w:b w:val="0"/>
        <w:i w:val="0"/>
        <w:strike w:val="0"/>
        <w:dstrike w:val="0"/>
        <w:color w:val="000000"/>
        <w:sz w:val="18"/>
        <w:szCs w:val="18"/>
        <w:u w:val="none" w:color="000000"/>
        <w:bdr w:val="none"/>
        <w:shd w:val="clear"/>
        <w:vertAlign w:val="baseline"/>
      </w:rPr>
    </w:lvl>
    <w:lvl w:ilvl="2">
      <w:start w:val="1"/>
      <w:numFmt w:val="lowerRoman"/>
      <w:lvlText w:val="%3"/>
      <w:pPr>
        <w:ind w:left="1906"/>
      </w:pPr>
      <w:rPr>
        <w:rFonts w:cs="Calibri" w:hAnsi="Calibri" w:eastAsia="Calibri" w:ascii="Calibri"/>
        <w:b w:val="0"/>
        <w:i w:val="0"/>
        <w:strike w:val="0"/>
        <w:dstrike w:val="0"/>
        <w:color w:val="000000"/>
        <w:sz w:val="18"/>
        <w:szCs w:val="18"/>
        <w:u w:val="none" w:color="000000"/>
        <w:bdr w:val="none"/>
        <w:shd w:val="clear"/>
        <w:vertAlign w:val="baseline"/>
      </w:rPr>
    </w:lvl>
    <w:lvl w:ilvl="3">
      <w:start w:val="1"/>
      <w:numFmt w:val="decimal"/>
      <w:lvlText w:val="%4"/>
      <w:pPr>
        <w:ind w:left="2626"/>
      </w:pPr>
      <w:rPr>
        <w:rFonts w:cs="Calibri" w:hAnsi="Calibri" w:eastAsia="Calibri" w:ascii="Calibri"/>
        <w:b w:val="0"/>
        <w:i w:val="0"/>
        <w:strike w:val="0"/>
        <w:dstrike w:val="0"/>
        <w:color w:val="000000"/>
        <w:sz w:val="18"/>
        <w:szCs w:val="18"/>
        <w:u w:val="none" w:color="000000"/>
        <w:bdr w:val="none"/>
        <w:shd w:val="clear"/>
        <w:vertAlign w:val="baseline"/>
      </w:rPr>
    </w:lvl>
    <w:lvl w:ilvl="4">
      <w:start w:val="1"/>
      <w:numFmt w:val="lowerLetter"/>
      <w:lvlText w:val="%5"/>
      <w:pPr>
        <w:ind w:left="3346"/>
      </w:pPr>
      <w:rPr>
        <w:rFonts w:cs="Calibri" w:hAnsi="Calibri" w:eastAsia="Calibri" w:ascii="Calibri"/>
        <w:b w:val="0"/>
        <w:i w:val="0"/>
        <w:strike w:val="0"/>
        <w:dstrike w:val="0"/>
        <w:color w:val="000000"/>
        <w:sz w:val="18"/>
        <w:szCs w:val="18"/>
        <w:u w:val="none" w:color="000000"/>
        <w:bdr w:val="none"/>
        <w:shd w:val="clear"/>
        <w:vertAlign w:val="baseline"/>
      </w:rPr>
    </w:lvl>
    <w:lvl w:ilvl="5">
      <w:start w:val="1"/>
      <w:numFmt w:val="lowerRoman"/>
      <w:lvlText w:val="%6"/>
      <w:pPr>
        <w:ind w:left="4066"/>
      </w:pPr>
      <w:rPr>
        <w:rFonts w:cs="Calibri" w:hAnsi="Calibri" w:eastAsia="Calibri" w:ascii="Calibri"/>
        <w:b w:val="0"/>
        <w:i w:val="0"/>
        <w:strike w:val="0"/>
        <w:dstrike w:val="0"/>
        <w:color w:val="000000"/>
        <w:sz w:val="18"/>
        <w:szCs w:val="18"/>
        <w:u w:val="none" w:color="000000"/>
        <w:bdr w:val="none"/>
        <w:shd w:val="clear"/>
        <w:vertAlign w:val="baseline"/>
      </w:rPr>
    </w:lvl>
    <w:lvl w:ilvl="6">
      <w:start w:val="1"/>
      <w:numFmt w:val="decimal"/>
      <w:lvlText w:val="%7"/>
      <w:pPr>
        <w:ind w:left="4786"/>
      </w:pPr>
      <w:rPr>
        <w:rFonts w:cs="Calibri" w:hAnsi="Calibri" w:eastAsia="Calibri" w:ascii="Calibri"/>
        <w:b w:val="0"/>
        <w:i w:val="0"/>
        <w:strike w:val="0"/>
        <w:dstrike w:val="0"/>
        <w:color w:val="000000"/>
        <w:sz w:val="18"/>
        <w:szCs w:val="18"/>
        <w:u w:val="none" w:color="000000"/>
        <w:bdr w:val="none"/>
        <w:shd w:val="clear"/>
        <w:vertAlign w:val="baseline"/>
      </w:rPr>
    </w:lvl>
    <w:lvl w:ilvl="7">
      <w:start w:val="1"/>
      <w:numFmt w:val="lowerLetter"/>
      <w:lvlText w:val="%8"/>
      <w:pPr>
        <w:ind w:left="5506"/>
      </w:pPr>
      <w:rPr>
        <w:rFonts w:cs="Calibri" w:hAnsi="Calibri" w:eastAsia="Calibri" w:ascii="Calibri"/>
        <w:b w:val="0"/>
        <w:i w:val="0"/>
        <w:strike w:val="0"/>
        <w:dstrike w:val="0"/>
        <w:color w:val="000000"/>
        <w:sz w:val="18"/>
        <w:szCs w:val="18"/>
        <w:u w:val="none" w:color="000000"/>
        <w:bdr w:val="none"/>
        <w:shd w:val="clear"/>
        <w:vertAlign w:val="baseline"/>
      </w:rPr>
    </w:lvl>
    <w:lvl w:ilvl="8">
      <w:start w:val="1"/>
      <w:numFmt w:val="lowerRoman"/>
      <w:lvlText w:val="%9"/>
      <w:pPr>
        <w:ind w:left="6226"/>
      </w:pPr>
      <w:rPr>
        <w:rFonts w:cs="Calibri" w:hAnsi="Calibri" w:eastAsia="Calibri" w:ascii="Calibri"/>
        <w:b w:val="0"/>
        <w:i w:val="0"/>
        <w:strike w:val="0"/>
        <w:dstrike w:val="0"/>
        <w:color w:val="000000"/>
        <w:sz w:val="18"/>
        <w:szCs w:val="18"/>
        <w:u w:val="none" w:color="000000"/>
        <w:bdr w:val="none"/>
        <w:shd w:val="clear"/>
        <w:vertAlign w:val="baseline"/>
      </w:rPr>
    </w:lvl>
  </w:abstractNum>
  <w:abstractNum w:abstractNumId="7">
    <w:multiLevelType w:val="hybridMultilevel"/>
    <w:lvl w:ilvl="0">
      <w:start w:val="1"/>
      <w:numFmt w:val="decimal"/>
      <w:lvlText w:val="%1)"/>
      <w:pPr>
        <w:ind w:left="360"/>
      </w:pPr>
      <w:rPr>
        <w:rFonts w:cs="Calibri" w:hAnsi="Calibri" w:eastAsia="Calibri" w:ascii="Calibri"/>
        <w:b w:val="0"/>
        <w:i w:val="0"/>
        <w:strike w:val="0"/>
        <w:dstrike w:val="0"/>
        <w:color w:val="000000"/>
        <w:sz w:val="18"/>
        <w:szCs w:val="18"/>
        <w:u w:val="none" w:color="000000"/>
        <w:bdr w:val="none"/>
        <w:shd w:val="clear"/>
        <w:vertAlign w:val="baseline"/>
      </w:rPr>
    </w:lvl>
    <w:lvl w:ilvl="1">
      <w:start w:val="1"/>
      <w:numFmt w:val="lowerLetter"/>
      <w:lvlText w:val="%2"/>
      <w:pPr>
        <w:ind w:left="1188"/>
      </w:pPr>
      <w:rPr>
        <w:rFonts w:cs="Calibri" w:hAnsi="Calibri" w:eastAsia="Calibri" w:ascii="Calibri"/>
        <w:b w:val="0"/>
        <w:i w:val="0"/>
        <w:strike w:val="0"/>
        <w:dstrike w:val="0"/>
        <w:color w:val="000000"/>
        <w:sz w:val="18"/>
        <w:szCs w:val="18"/>
        <w:u w:val="none" w:color="000000"/>
        <w:bdr w:val="none"/>
        <w:shd w:val="clear"/>
        <w:vertAlign w:val="baseline"/>
      </w:rPr>
    </w:lvl>
    <w:lvl w:ilvl="2">
      <w:start w:val="1"/>
      <w:numFmt w:val="lowerRoman"/>
      <w:lvlText w:val="%3"/>
      <w:pPr>
        <w:ind w:left="1908"/>
      </w:pPr>
      <w:rPr>
        <w:rFonts w:cs="Calibri" w:hAnsi="Calibri" w:eastAsia="Calibri" w:ascii="Calibri"/>
        <w:b w:val="0"/>
        <w:i w:val="0"/>
        <w:strike w:val="0"/>
        <w:dstrike w:val="0"/>
        <w:color w:val="000000"/>
        <w:sz w:val="18"/>
        <w:szCs w:val="18"/>
        <w:u w:val="none" w:color="000000"/>
        <w:bdr w:val="none"/>
        <w:shd w:val="clear"/>
        <w:vertAlign w:val="baseline"/>
      </w:rPr>
    </w:lvl>
    <w:lvl w:ilvl="3">
      <w:start w:val="1"/>
      <w:numFmt w:val="decimal"/>
      <w:lvlText w:val="%4"/>
      <w:pPr>
        <w:ind w:left="2628"/>
      </w:pPr>
      <w:rPr>
        <w:rFonts w:cs="Calibri" w:hAnsi="Calibri" w:eastAsia="Calibri" w:ascii="Calibri"/>
        <w:b w:val="0"/>
        <w:i w:val="0"/>
        <w:strike w:val="0"/>
        <w:dstrike w:val="0"/>
        <w:color w:val="000000"/>
        <w:sz w:val="18"/>
        <w:szCs w:val="18"/>
        <w:u w:val="none" w:color="000000"/>
        <w:bdr w:val="none"/>
        <w:shd w:val="clear"/>
        <w:vertAlign w:val="baseline"/>
      </w:rPr>
    </w:lvl>
    <w:lvl w:ilvl="4">
      <w:start w:val="1"/>
      <w:numFmt w:val="lowerLetter"/>
      <w:lvlText w:val="%5"/>
      <w:pPr>
        <w:ind w:left="3348"/>
      </w:pPr>
      <w:rPr>
        <w:rFonts w:cs="Calibri" w:hAnsi="Calibri" w:eastAsia="Calibri" w:ascii="Calibri"/>
        <w:b w:val="0"/>
        <w:i w:val="0"/>
        <w:strike w:val="0"/>
        <w:dstrike w:val="0"/>
        <w:color w:val="000000"/>
        <w:sz w:val="18"/>
        <w:szCs w:val="18"/>
        <w:u w:val="none" w:color="000000"/>
        <w:bdr w:val="none"/>
        <w:shd w:val="clear"/>
        <w:vertAlign w:val="baseline"/>
      </w:rPr>
    </w:lvl>
    <w:lvl w:ilvl="5">
      <w:start w:val="1"/>
      <w:numFmt w:val="lowerRoman"/>
      <w:lvlText w:val="%6"/>
      <w:pPr>
        <w:ind w:left="4068"/>
      </w:pPr>
      <w:rPr>
        <w:rFonts w:cs="Calibri" w:hAnsi="Calibri" w:eastAsia="Calibri" w:ascii="Calibri"/>
        <w:b w:val="0"/>
        <w:i w:val="0"/>
        <w:strike w:val="0"/>
        <w:dstrike w:val="0"/>
        <w:color w:val="000000"/>
        <w:sz w:val="18"/>
        <w:szCs w:val="18"/>
        <w:u w:val="none" w:color="000000"/>
        <w:bdr w:val="none"/>
        <w:shd w:val="clear"/>
        <w:vertAlign w:val="baseline"/>
      </w:rPr>
    </w:lvl>
    <w:lvl w:ilvl="6">
      <w:start w:val="1"/>
      <w:numFmt w:val="decimal"/>
      <w:lvlText w:val="%7"/>
      <w:pPr>
        <w:ind w:left="4788"/>
      </w:pPr>
      <w:rPr>
        <w:rFonts w:cs="Calibri" w:hAnsi="Calibri" w:eastAsia="Calibri" w:ascii="Calibri"/>
        <w:b w:val="0"/>
        <w:i w:val="0"/>
        <w:strike w:val="0"/>
        <w:dstrike w:val="0"/>
        <w:color w:val="000000"/>
        <w:sz w:val="18"/>
        <w:szCs w:val="18"/>
        <w:u w:val="none" w:color="000000"/>
        <w:bdr w:val="none"/>
        <w:shd w:val="clear"/>
        <w:vertAlign w:val="baseline"/>
      </w:rPr>
    </w:lvl>
    <w:lvl w:ilvl="7">
      <w:start w:val="1"/>
      <w:numFmt w:val="lowerLetter"/>
      <w:lvlText w:val="%8"/>
      <w:pPr>
        <w:ind w:left="5508"/>
      </w:pPr>
      <w:rPr>
        <w:rFonts w:cs="Calibri" w:hAnsi="Calibri" w:eastAsia="Calibri" w:ascii="Calibri"/>
        <w:b w:val="0"/>
        <w:i w:val="0"/>
        <w:strike w:val="0"/>
        <w:dstrike w:val="0"/>
        <w:color w:val="000000"/>
        <w:sz w:val="18"/>
        <w:szCs w:val="18"/>
        <w:u w:val="none" w:color="000000"/>
        <w:bdr w:val="none"/>
        <w:shd w:val="clear"/>
        <w:vertAlign w:val="baseline"/>
      </w:rPr>
    </w:lvl>
    <w:lvl w:ilvl="8">
      <w:start w:val="1"/>
      <w:numFmt w:val="lowerRoman"/>
      <w:lvlText w:val="%9"/>
      <w:pPr>
        <w:ind w:left="6228"/>
      </w:pPr>
      <w:rPr>
        <w:rFonts w:cs="Calibri" w:hAnsi="Calibri" w:eastAsia="Calibri" w:ascii="Calibri"/>
        <w:b w:val="0"/>
        <w:i w:val="0"/>
        <w:strike w:val="0"/>
        <w:dstrike w:val="0"/>
        <w:color w:val="000000"/>
        <w:sz w:val="18"/>
        <w:szCs w:val="18"/>
        <w:u w:val="none" w:color="000000"/>
        <w:bdr w:val="none"/>
        <w:shd w:val="clear"/>
        <w:vertAlign w:val="baseline"/>
      </w:rPr>
    </w:lvl>
  </w:abstractNum>
  <w:abstractNum w:abstractNumId="8">
    <w:multiLevelType w:val="hybridMultilevel"/>
    <w:lvl w:ilvl="0">
      <w:start w:val="1"/>
      <w:numFmt w:val="decimal"/>
      <w:lvlText w:val="%1)"/>
      <w:pPr>
        <w:ind w:left="360"/>
      </w:pPr>
      <w:rPr>
        <w:rFonts w:cs="Calibri" w:hAnsi="Calibri" w:eastAsia="Calibri" w:ascii="Calibri"/>
        <w:b w:val="0"/>
        <w:i w:val="0"/>
        <w:strike w:val="0"/>
        <w:dstrike w:val="0"/>
        <w:color w:val="000000"/>
        <w:sz w:val="18"/>
        <w:szCs w:val="18"/>
        <w:u w:val="none" w:color="000000"/>
        <w:bdr w:val="none"/>
        <w:shd w:val="clear"/>
        <w:vertAlign w:val="baseline"/>
      </w:rPr>
    </w:lvl>
    <w:lvl w:ilvl="1">
      <w:start w:val="1"/>
      <w:numFmt w:val="lowerLetter"/>
      <w:lvlText w:val="%2"/>
      <w:pPr>
        <w:ind w:left="1188"/>
      </w:pPr>
      <w:rPr>
        <w:rFonts w:cs="Calibri" w:hAnsi="Calibri" w:eastAsia="Calibri" w:ascii="Calibri"/>
        <w:b w:val="0"/>
        <w:i w:val="0"/>
        <w:strike w:val="0"/>
        <w:dstrike w:val="0"/>
        <w:color w:val="000000"/>
        <w:sz w:val="18"/>
        <w:szCs w:val="18"/>
        <w:u w:val="none" w:color="000000"/>
        <w:bdr w:val="none"/>
        <w:shd w:val="clear"/>
        <w:vertAlign w:val="baseline"/>
      </w:rPr>
    </w:lvl>
    <w:lvl w:ilvl="2">
      <w:start w:val="1"/>
      <w:numFmt w:val="lowerRoman"/>
      <w:lvlText w:val="%3"/>
      <w:pPr>
        <w:ind w:left="1908"/>
      </w:pPr>
      <w:rPr>
        <w:rFonts w:cs="Calibri" w:hAnsi="Calibri" w:eastAsia="Calibri" w:ascii="Calibri"/>
        <w:b w:val="0"/>
        <w:i w:val="0"/>
        <w:strike w:val="0"/>
        <w:dstrike w:val="0"/>
        <w:color w:val="000000"/>
        <w:sz w:val="18"/>
        <w:szCs w:val="18"/>
        <w:u w:val="none" w:color="000000"/>
        <w:bdr w:val="none"/>
        <w:shd w:val="clear"/>
        <w:vertAlign w:val="baseline"/>
      </w:rPr>
    </w:lvl>
    <w:lvl w:ilvl="3">
      <w:start w:val="1"/>
      <w:numFmt w:val="decimal"/>
      <w:lvlText w:val="%4"/>
      <w:pPr>
        <w:ind w:left="2628"/>
      </w:pPr>
      <w:rPr>
        <w:rFonts w:cs="Calibri" w:hAnsi="Calibri" w:eastAsia="Calibri" w:ascii="Calibri"/>
        <w:b w:val="0"/>
        <w:i w:val="0"/>
        <w:strike w:val="0"/>
        <w:dstrike w:val="0"/>
        <w:color w:val="000000"/>
        <w:sz w:val="18"/>
        <w:szCs w:val="18"/>
        <w:u w:val="none" w:color="000000"/>
        <w:bdr w:val="none"/>
        <w:shd w:val="clear"/>
        <w:vertAlign w:val="baseline"/>
      </w:rPr>
    </w:lvl>
    <w:lvl w:ilvl="4">
      <w:start w:val="1"/>
      <w:numFmt w:val="lowerLetter"/>
      <w:lvlText w:val="%5"/>
      <w:pPr>
        <w:ind w:left="3348"/>
      </w:pPr>
      <w:rPr>
        <w:rFonts w:cs="Calibri" w:hAnsi="Calibri" w:eastAsia="Calibri" w:ascii="Calibri"/>
        <w:b w:val="0"/>
        <w:i w:val="0"/>
        <w:strike w:val="0"/>
        <w:dstrike w:val="0"/>
        <w:color w:val="000000"/>
        <w:sz w:val="18"/>
        <w:szCs w:val="18"/>
        <w:u w:val="none" w:color="000000"/>
        <w:bdr w:val="none"/>
        <w:shd w:val="clear"/>
        <w:vertAlign w:val="baseline"/>
      </w:rPr>
    </w:lvl>
    <w:lvl w:ilvl="5">
      <w:start w:val="1"/>
      <w:numFmt w:val="lowerRoman"/>
      <w:lvlText w:val="%6"/>
      <w:pPr>
        <w:ind w:left="4068"/>
      </w:pPr>
      <w:rPr>
        <w:rFonts w:cs="Calibri" w:hAnsi="Calibri" w:eastAsia="Calibri" w:ascii="Calibri"/>
        <w:b w:val="0"/>
        <w:i w:val="0"/>
        <w:strike w:val="0"/>
        <w:dstrike w:val="0"/>
        <w:color w:val="000000"/>
        <w:sz w:val="18"/>
        <w:szCs w:val="18"/>
        <w:u w:val="none" w:color="000000"/>
        <w:bdr w:val="none"/>
        <w:shd w:val="clear"/>
        <w:vertAlign w:val="baseline"/>
      </w:rPr>
    </w:lvl>
    <w:lvl w:ilvl="6">
      <w:start w:val="1"/>
      <w:numFmt w:val="decimal"/>
      <w:lvlText w:val="%7"/>
      <w:pPr>
        <w:ind w:left="4788"/>
      </w:pPr>
      <w:rPr>
        <w:rFonts w:cs="Calibri" w:hAnsi="Calibri" w:eastAsia="Calibri" w:ascii="Calibri"/>
        <w:b w:val="0"/>
        <w:i w:val="0"/>
        <w:strike w:val="0"/>
        <w:dstrike w:val="0"/>
        <w:color w:val="000000"/>
        <w:sz w:val="18"/>
        <w:szCs w:val="18"/>
        <w:u w:val="none" w:color="000000"/>
        <w:bdr w:val="none"/>
        <w:shd w:val="clear"/>
        <w:vertAlign w:val="baseline"/>
      </w:rPr>
    </w:lvl>
    <w:lvl w:ilvl="7">
      <w:start w:val="1"/>
      <w:numFmt w:val="lowerLetter"/>
      <w:lvlText w:val="%8"/>
      <w:pPr>
        <w:ind w:left="5508"/>
      </w:pPr>
      <w:rPr>
        <w:rFonts w:cs="Calibri" w:hAnsi="Calibri" w:eastAsia="Calibri" w:ascii="Calibri"/>
        <w:b w:val="0"/>
        <w:i w:val="0"/>
        <w:strike w:val="0"/>
        <w:dstrike w:val="0"/>
        <w:color w:val="000000"/>
        <w:sz w:val="18"/>
        <w:szCs w:val="18"/>
        <w:u w:val="none" w:color="000000"/>
        <w:bdr w:val="none"/>
        <w:shd w:val="clear"/>
        <w:vertAlign w:val="baseline"/>
      </w:rPr>
    </w:lvl>
    <w:lvl w:ilvl="8">
      <w:start w:val="1"/>
      <w:numFmt w:val="lowerRoman"/>
      <w:lvlText w:val="%9"/>
      <w:pPr>
        <w:ind w:left="6228"/>
      </w:pPr>
      <w:rPr>
        <w:rFonts w:cs="Calibri" w:hAnsi="Calibri" w:eastAsia="Calibri" w:ascii="Calibri"/>
        <w:b w:val="0"/>
        <w:i w:val="0"/>
        <w:strike w:val="0"/>
        <w:dstrike w:val="0"/>
        <w:color w:val="000000"/>
        <w:sz w:val="18"/>
        <w:szCs w:val="18"/>
        <w:u w:val="none" w:color="000000"/>
        <w:bdr w:val="none"/>
        <w:shd w:val="clear"/>
        <w:vertAlign w:val="baseline"/>
      </w:rPr>
    </w:lvl>
  </w:abstractNum>
  <w:abstractNum w:abstractNumId="9">
    <w:multiLevelType w:val="hybridMultilevel"/>
    <w:lvl w:ilvl="0">
      <w:start w:val="1"/>
      <w:numFmt w:val="bullet"/>
      <w:lvlText w:val="•"/>
      <w:pPr>
        <w:ind w:left="468"/>
      </w:pPr>
      <w:rPr>
        <w:rFonts w:cs="Arial" w:hAnsi="Arial" w:eastAsia="Arial" w:ascii="Arial"/>
        <w:b w:val="0"/>
        <w:i w:val="0"/>
        <w:strike w:val="0"/>
        <w:dstrike w:val="0"/>
        <w:color w:val="000000"/>
        <w:sz w:val="28"/>
        <w:szCs w:val="28"/>
        <w:u w:val="none" w:color="000000"/>
        <w:bdr w:val="none"/>
        <w:shd w:val="clear"/>
        <w:vertAlign w:val="superscript"/>
      </w:rPr>
    </w:lvl>
    <w:lvl w:ilvl="1">
      <w:start w:val="1"/>
      <w:numFmt w:val="bullet"/>
      <w:lvlText w:val="o"/>
      <w:pPr>
        <w:ind w:left="1188"/>
      </w:pPr>
      <w:rPr>
        <w:rFonts w:cs="Segoe UI Symbol" w:hAnsi="Segoe UI Symbol" w:eastAsia="Segoe UI Symbol" w:ascii="Segoe UI Symbol"/>
        <w:b w:val="0"/>
        <w:i w:val="0"/>
        <w:strike w:val="0"/>
        <w:dstrike w:val="0"/>
        <w:color w:val="000000"/>
        <w:sz w:val="28"/>
        <w:szCs w:val="28"/>
        <w:u w:val="none" w:color="000000"/>
        <w:bdr w:val="none"/>
        <w:shd w:val="clear"/>
        <w:vertAlign w:val="superscript"/>
      </w:rPr>
    </w:lvl>
    <w:lvl w:ilvl="2">
      <w:start w:val="1"/>
      <w:numFmt w:val="bullet"/>
      <w:lvlText w:val="▪"/>
      <w:pPr>
        <w:ind w:left="1908"/>
      </w:pPr>
      <w:rPr>
        <w:rFonts w:cs="Segoe UI Symbol" w:hAnsi="Segoe UI Symbol" w:eastAsia="Segoe UI Symbol" w:ascii="Segoe UI Symbol"/>
        <w:b w:val="0"/>
        <w:i w:val="0"/>
        <w:strike w:val="0"/>
        <w:dstrike w:val="0"/>
        <w:color w:val="000000"/>
        <w:sz w:val="28"/>
        <w:szCs w:val="28"/>
        <w:u w:val="none" w:color="000000"/>
        <w:bdr w:val="none"/>
        <w:shd w:val="clear"/>
        <w:vertAlign w:val="superscript"/>
      </w:rPr>
    </w:lvl>
    <w:lvl w:ilvl="3">
      <w:start w:val="1"/>
      <w:numFmt w:val="bullet"/>
      <w:lvlText w:val="•"/>
      <w:pPr>
        <w:ind w:left="2628"/>
      </w:pPr>
      <w:rPr>
        <w:rFonts w:cs="Arial" w:hAnsi="Arial" w:eastAsia="Arial" w:ascii="Arial"/>
        <w:b w:val="0"/>
        <w:i w:val="0"/>
        <w:strike w:val="0"/>
        <w:dstrike w:val="0"/>
        <w:color w:val="000000"/>
        <w:sz w:val="28"/>
        <w:szCs w:val="28"/>
        <w:u w:val="none" w:color="000000"/>
        <w:bdr w:val="none"/>
        <w:shd w:val="clear"/>
        <w:vertAlign w:val="superscript"/>
      </w:rPr>
    </w:lvl>
    <w:lvl w:ilvl="4">
      <w:start w:val="1"/>
      <w:numFmt w:val="bullet"/>
      <w:lvlText w:val="o"/>
      <w:pPr>
        <w:ind w:left="3348"/>
      </w:pPr>
      <w:rPr>
        <w:rFonts w:cs="Segoe UI Symbol" w:hAnsi="Segoe UI Symbol" w:eastAsia="Segoe UI Symbol" w:ascii="Segoe UI Symbol"/>
        <w:b w:val="0"/>
        <w:i w:val="0"/>
        <w:strike w:val="0"/>
        <w:dstrike w:val="0"/>
        <w:color w:val="000000"/>
        <w:sz w:val="28"/>
        <w:szCs w:val="28"/>
        <w:u w:val="none" w:color="000000"/>
        <w:bdr w:val="none"/>
        <w:shd w:val="clear"/>
        <w:vertAlign w:val="superscript"/>
      </w:rPr>
    </w:lvl>
    <w:lvl w:ilvl="5">
      <w:start w:val="1"/>
      <w:numFmt w:val="bullet"/>
      <w:lvlText w:val="▪"/>
      <w:pPr>
        <w:ind w:left="4068"/>
      </w:pPr>
      <w:rPr>
        <w:rFonts w:cs="Segoe UI Symbol" w:hAnsi="Segoe UI Symbol" w:eastAsia="Segoe UI Symbol" w:ascii="Segoe UI Symbol"/>
        <w:b w:val="0"/>
        <w:i w:val="0"/>
        <w:strike w:val="0"/>
        <w:dstrike w:val="0"/>
        <w:color w:val="000000"/>
        <w:sz w:val="28"/>
        <w:szCs w:val="28"/>
        <w:u w:val="none" w:color="000000"/>
        <w:bdr w:val="none"/>
        <w:shd w:val="clear"/>
        <w:vertAlign w:val="superscript"/>
      </w:rPr>
    </w:lvl>
    <w:lvl w:ilvl="6">
      <w:start w:val="1"/>
      <w:numFmt w:val="bullet"/>
      <w:lvlText w:val="•"/>
      <w:pPr>
        <w:ind w:left="4788"/>
      </w:pPr>
      <w:rPr>
        <w:rFonts w:cs="Arial" w:hAnsi="Arial" w:eastAsia="Arial" w:ascii="Arial"/>
        <w:b w:val="0"/>
        <w:i w:val="0"/>
        <w:strike w:val="0"/>
        <w:dstrike w:val="0"/>
        <w:color w:val="000000"/>
        <w:sz w:val="28"/>
        <w:szCs w:val="28"/>
        <w:u w:val="none" w:color="000000"/>
        <w:bdr w:val="none"/>
        <w:shd w:val="clear"/>
        <w:vertAlign w:val="superscript"/>
      </w:rPr>
    </w:lvl>
    <w:lvl w:ilvl="7">
      <w:start w:val="1"/>
      <w:numFmt w:val="bullet"/>
      <w:lvlText w:val="o"/>
      <w:pPr>
        <w:ind w:left="5508"/>
      </w:pPr>
      <w:rPr>
        <w:rFonts w:cs="Segoe UI Symbol" w:hAnsi="Segoe UI Symbol" w:eastAsia="Segoe UI Symbol" w:ascii="Segoe UI Symbol"/>
        <w:b w:val="0"/>
        <w:i w:val="0"/>
        <w:strike w:val="0"/>
        <w:dstrike w:val="0"/>
        <w:color w:val="000000"/>
        <w:sz w:val="28"/>
        <w:szCs w:val="28"/>
        <w:u w:val="none" w:color="000000"/>
        <w:bdr w:val="none"/>
        <w:shd w:val="clear"/>
        <w:vertAlign w:val="superscript"/>
      </w:rPr>
    </w:lvl>
    <w:lvl w:ilvl="8">
      <w:start w:val="1"/>
      <w:numFmt w:val="bullet"/>
      <w:lvlText w:val="▪"/>
      <w:pPr>
        <w:ind w:left="6228"/>
      </w:pPr>
      <w:rPr>
        <w:rFonts w:cs="Segoe UI Symbol" w:hAnsi="Segoe UI Symbol" w:eastAsia="Segoe UI Symbol" w:ascii="Segoe UI Symbol"/>
        <w:b w:val="0"/>
        <w:i w:val="0"/>
        <w:strike w:val="0"/>
        <w:dstrike w:val="0"/>
        <w:color w:val="000000"/>
        <w:sz w:val="28"/>
        <w:szCs w:val="28"/>
        <w:u w:val="none" w:color="000000"/>
        <w:bdr w:val="none"/>
        <w:shd w:val="clear"/>
        <w:vertAlign w:val="superscript"/>
      </w:rPr>
    </w:lvl>
  </w:abstractNum>
  <w:abstractNum w:abstractNumId="10">
    <w:multiLevelType w:val="hybridMultilevel"/>
    <w:lvl w:ilvl="0">
      <w:start w:val="1"/>
      <w:numFmt w:val="bullet"/>
      <w:lvlText w:val="•"/>
      <w:pPr>
        <w:ind w:left="468"/>
      </w:pPr>
      <w:rPr>
        <w:rFonts w:cs="Arial" w:hAnsi="Arial" w:eastAsia="Arial" w:ascii="Arial"/>
        <w:b w:val="0"/>
        <w:i w:val="0"/>
        <w:strike w:val="0"/>
        <w:dstrike w:val="0"/>
        <w:color w:val="000000"/>
        <w:sz w:val="28"/>
        <w:szCs w:val="28"/>
        <w:u w:val="none" w:color="000000"/>
        <w:bdr w:val="none"/>
        <w:shd w:val="clear"/>
        <w:vertAlign w:val="superscript"/>
      </w:rPr>
    </w:lvl>
    <w:lvl w:ilvl="1">
      <w:start w:val="1"/>
      <w:numFmt w:val="bullet"/>
      <w:lvlText w:val="o"/>
      <w:pPr>
        <w:ind w:left="1188"/>
      </w:pPr>
      <w:rPr>
        <w:rFonts w:cs="Segoe UI Symbol" w:hAnsi="Segoe UI Symbol" w:eastAsia="Segoe UI Symbol" w:ascii="Segoe UI Symbol"/>
        <w:b w:val="0"/>
        <w:i w:val="0"/>
        <w:strike w:val="0"/>
        <w:dstrike w:val="0"/>
        <w:color w:val="000000"/>
        <w:sz w:val="28"/>
        <w:szCs w:val="28"/>
        <w:u w:val="none" w:color="000000"/>
        <w:bdr w:val="none"/>
        <w:shd w:val="clear"/>
        <w:vertAlign w:val="superscript"/>
      </w:rPr>
    </w:lvl>
    <w:lvl w:ilvl="2">
      <w:start w:val="1"/>
      <w:numFmt w:val="bullet"/>
      <w:lvlText w:val="▪"/>
      <w:pPr>
        <w:ind w:left="1908"/>
      </w:pPr>
      <w:rPr>
        <w:rFonts w:cs="Segoe UI Symbol" w:hAnsi="Segoe UI Symbol" w:eastAsia="Segoe UI Symbol" w:ascii="Segoe UI Symbol"/>
        <w:b w:val="0"/>
        <w:i w:val="0"/>
        <w:strike w:val="0"/>
        <w:dstrike w:val="0"/>
        <w:color w:val="000000"/>
        <w:sz w:val="28"/>
        <w:szCs w:val="28"/>
        <w:u w:val="none" w:color="000000"/>
        <w:bdr w:val="none"/>
        <w:shd w:val="clear"/>
        <w:vertAlign w:val="superscript"/>
      </w:rPr>
    </w:lvl>
    <w:lvl w:ilvl="3">
      <w:start w:val="1"/>
      <w:numFmt w:val="bullet"/>
      <w:lvlText w:val="•"/>
      <w:pPr>
        <w:ind w:left="2628"/>
      </w:pPr>
      <w:rPr>
        <w:rFonts w:cs="Arial" w:hAnsi="Arial" w:eastAsia="Arial" w:ascii="Arial"/>
        <w:b w:val="0"/>
        <w:i w:val="0"/>
        <w:strike w:val="0"/>
        <w:dstrike w:val="0"/>
        <w:color w:val="000000"/>
        <w:sz w:val="28"/>
        <w:szCs w:val="28"/>
        <w:u w:val="none" w:color="000000"/>
        <w:bdr w:val="none"/>
        <w:shd w:val="clear"/>
        <w:vertAlign w:val="superscript"/>
      </w:rPr>
    </w:lvl>
    <w:lvl w:ilvl="4">
      <w:start w:val="1"/>
      <w:numFmt w:val="bullet"/>
      <w:lvlText w:val="o"/>
      <w:pPr>
        <w:ind w:left="3348"/>
      </w:pPr>
      <w:rPr>
        <w:rFonts w:cs="Segoe UI Symbol" w:hAnsi="Segoe UI Symbol" w:eastAsia="Segoe UI Symbol" w:ascii="Segoe UI Symbol"/>
        <w:b w:val="0"/>
        <w:i w:val="0"/>
        <w:strike w:val="0"/>
        <w:dstrike w:val="0"/>
        <w:color w:val="000000"/>
        <w:sz w:val="28"/>
        <w:szCs w:val="28"/>
        <w:u w:val="none" w:color="000000"/>
        <w:bdr w:val="none"/>
        <w:shd w:val="clear"/>
        <w:vertAlign w:val="superscript"/>
      </w:rPr>
    </w:lvl>
    <w:lvl w:ilvl="5">
      <w:start w:val="1"/>
      <w:numFmt w:val="bullet"/>
      <w:lvlText w:val="▪"/>
      <w:pPr>
        <w:ind w:left="4068"/>
      </w:pPr>
      <w:rPr>
        <w:rFonts w:cs="Segoe UI Symbol" w:hAnsi="Segoe UI Symbol" w:eastAsia="Segoe UI Symbol" w:ascii="Segoe UI Symbol"/>
        <w:b w:val="0"/>
        <w:i w:val="0"/>
        <w:strike w:val="0"/>
        <w:dstrike w:val="0"/>
        <w:color w:val="000000"/>
        <w:sz w:val="28"/>
        <w:szCs w:val="28"/>
        <w:u w:val="none" w:color="000000"/>
        <w:bdr w:val="none"/>
        <w:shd w:val="clear"/>
        <w:vertAlign w:val="superscript"/>
      </w:rPr>
    </w:lvl>
    <w:lvl w:ilvl="6">
      <w:start w:val="1"/>
      <w:numFmt w:val="bullet"/>
      <w:lvlText w:val="•"/>
      <w:pPr>
        <w:ind w:left="4788"/>
      </w:pPr>
      <w:rPr>
        <w:rFonts w:cs="Arial" w:hAnsi="Arial" w:eastAsia="Arial" w:ascii="Arial"/>
        <w:b w:val="0"/>
        <w:i w:val="0"/>
        <w:strike w:val="0"/>
        <w:dstrike w:val="0"/>
        <w:color w:val="000000"/>
        <w:sz w:val="28"/>
        <w:szCs w:val="28"/>
        <w:u w:val="none" w:color="000000"/>
        <w:bdr w:val="none"/>
        <w:shd w:val="clear"/>
        <w:vertAlign w:val="superscript"/>
      </w:rPr>
    </w:lvl>
    <w:lvl w:ilvl="7">
      <w:start w:val="1"/>
      <w:numFmt w:val="bullet"/>
      <w:lvlText w:val="o"/>
      <w:pPr>
        <w:ind w:left="5508"/>
      </w:pPr>
      <w:rPr>
        <w:rFonts w:cs="Segoe UI Symbol" w:hAnsi="Segoe UI Symbol" w:eastAsia="Segoe UI Symbol" w:ascii="Segoe UI Symbol"/>
        <w:b w:val="0"/>
        <w:i w:val="0"/>
        <w:strike w:val="0"/>
        <w:dstrike w:val="0"/>
        <w:color w:val="000000"/>
        <w:sz w:val="28"/>
        <w:szCs w:val="28"/>
        <w:u w:val="none" w:color="000000"/>
        <w:bdr w:val="none"/>
        <w:shd w:val="clear"/>
        <w:vertAlign w:val="superscript"/>
      </w:rPr>
    </w:lvl>
    <w:lvl w:ilvl="8">
      <w:start w:val="1"/>
      <w:numFmt w:val="bullet"/>
      <w:lvlText w:val="▪"/>
      <w:pPr>
        <w:ind w:left="6228"/>
      </w:pPr>
      <w:rPr>
        <w:rFonts w:cs="Segoe UI Symbol" w:hAnsi="Segoe UI Symbol" w:eastAsia="Segoe UI Symbol" w:ascii="Segoe UI Symbol"/>
        <w:b w:val="0"/>
        <w:i w:val="0"/>
        <w:strike w:val="0"/>
        <w:dstrike w:val="0"/>
        <w:color w:val="000000"/>
        <w:sz w:val="28"/>
        <w:szCs w:val="28"/>
        <w:u w:val="none" w:color="000000"/>
        <w:bdr w:val="none"/>
        <w:shd w:val="clear"/>
        <w:vertAlign w:val="superscrip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bering>
</file>

<file path=word/settings.xml><?xml version="1.0" encoding="utf-8"?>
<w:settings xmlns:mc="http://schemas.openxmlformats.org/markup-compatibility/2006" xmlns:w14="http://schemas.microsoft.com/office/word/2010/wordml" xmlns:r="http://schemas.openxmlformats.org/officeDocument/2006/relationships" xmlns:w="http://schemas.openxmlformats.org/wordprocessingml/2006/main" mc:Ignorable="w14">
  <w:evenAndOddHeaders/>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14="http://schemas.microsoft.com/office/word/2010/wordml" xmlns:w15="http://schemas.microsoft.com/office/word/2012/wordml" xmlns:w="http://schemas.openxmlformats.org/wordprocessingml/2006/main" mc:Ignorable="w14 w15">
  <w:style w:type="paragraph" w:styleId="normal" w:default="true">
    <w:name w:val="Normal"/>
    <w:qFormat/>
    <w:pPr>
      <w:bidi w:val="0"/>
      <w:spacing w:before="0" w:after="5" w:line="249" w:lineRule="auto"/>
      <w:ind w:left="10" w:right="1" w:hanging="10"/>
      <w:jc w:val="both"/>
    </w:pPr>
    <w:rPr>
      <w:rFonts w:cs="Calibri" w:hAnsi="Calibri" w:eastAsia="Calibri" w:ascii="Calibri"/>
      <w:color w:val="000000"/>
      <w:sz w:val="24"/>
    </w:rPr>
  </w:style>
  <w:style w:type="table" w:styleId="TableGrid">
    <w:name w:val="TableGrid"/>
    <w:pPr>
      <w:spacing w:lineRule="auto" w:line="240" w:after="0"/>
    </w:pPr>
  </w:style>
</w:styles>
</file>

<file path=word/_rels/document.xml.rels><?xml version="1.0" encoding="UTF-8" standalone="yes"?>
<Relationships xmlns="http://schemas.openxmlformats.org/package/2006/relationships"><Relationship Id="rId8" Type="http://schemas.openxmlformats.org/officeDocument/2006/relationships/footer" Target="footer8.xml"/><Relationship Id="rId13" Type="http://schemas.openxmlformats.org/officeDocument/2006/relationships/image" Target="media/image0.jpg"/><Relationship Id="rId18" Type="http://schemas.openxmlformats.org/officeDocument/2006/relationships/customXml" Target="../customXml/item4.xml"/><Relationship Id="rId3" Type="http://schemas.openxmlformats.org/officeDocument/2006/relationships/footer" Target="footer3.xml"/><Relationship Id="rsSettingsId" Type="http://schemas.openxmlformats.org/officeDocument/2006/relationships/settings" Target="settings.xml"/><Relationship Id="rId12" Type="http://schemas.openxmlformats.org/officeDocument/2006/relationships/footer" Target="footer12.xml"/><Relationship Id="rId7" Type="http://schemas.openxmlformats.org/officeDocument/2006/relationships/footer" Target="footer7.xml"/><Relationship Id="rId17" Type="http://schemas.openxmlformats.org/officeDocument/2006/relationships/customXml" Target="../customXml/item3.xml"/><Relationship Id="rId2" Type="http://schemas.openxmlformats.org/officeDocument/2006/relationships/footer" Target="footer2.xml"/><Relationship Id="rId16" Type="http://schemas.openxmlformats.org/officeDocument/2006/relationships/customXml" Target="../customXml/item2.xml"/><Relationship Id="rId6" Type="http://schemas.openxmlformats.org/officeDocument/2006/relationships/footer" Target="footer6.xml"/><Relationship Id="rId1" Type="http://schemas.openxmlformats.org/officeDocument/2006/relationships/footer" Target="footer1.xml"/><Relationship Id="rId11" Type="http://schemas.openxmlformats.org/officeDocument/2006/relationships/footer" Target="footer11.xml"/><Relationship Id="rId5" Type="http://schemas.openxmlformats.org/officeDocument/2006/relationships/footer" Target="footer5.xml"/><Relationship Id="rId15" Type="http://schemas.openxmlformats.org/officeDocument/2006/relationships/customXml" Target="../customXml/item1.xml"/><Relationship Id="rId10" Type="http://schemas.openxmlformats.org/officeDocument/2006/relationships/footer" Target="footer10.xml"/><Relationship Id="rsNumberingId" Type="http://schemas.openxmlformats.org/officeDocument/2006/relationships/numbering" Target="numbering.xml"/><Relationship Id="rsStylesId" Type="http://schemas.openxmlformats.org/officeDocument/2006/relationships/styles" Target="styles.xml"/><Relationship Id="rId19" Type="http://schemas.openxmlformats.org/officeDocument/2006/relationships/customXml" Target="../customXml/item5.xml"/><Relationship Id="rId14" Type="http://schemas.openxmlformats.org/officeDocument/2006/relationships/image" Target="media/image2.png"/><Relationship Id="rId9" Type="http://schemas.openxmlformats.org/officeDocument/2006/relationships/footer" Target="footer9.xml"/><Relationship Id="rId4" Type="http://schemas.openxmlformats.org/officeDocument/2006/relationships/footer" Target="footer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2016-03-22T11:00:00+00:00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1544</Value>
      <Value>1</Value>
      <Value>763</Value>
    </TaxCatchAll>
    <c4e2ab2cc9354bbf9064eeb465a566ea xmlns="1ed4137b-41b2-488b-8250-6d369ec27664">
      <Terms xmlns="http://schemas.microsoft.com/office/infopath/2007/PartnerControls"/>
    </c4e2ab2cc9354bbf9064eeb465a566ea>
    <UndpProjectNo xmlns="1ed4137b-41b2-488b-8250-6d369ec27664" xsi:nil="true"/>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MWI</TermName>
          <TermId xmlns="http://schemas.microsoft.com/office/infopath/2007/PartnerControls">b63a57e3-63ca-4463-a7bd-d18154366ee0</TermId>
        </TermInfo>
      </Terms>
    </gc6531b704974d528487414686b72f6f>
    <_dlc_DocId xmlns="f1161f5b-24a3-4c2d-bc81-44cb9325e8ee">ATLASPDC-4-46485</_dlc_DocId>
    <_dlc_DocIdUrl xmlns="f1161f5b-24a3-4c2d-bc81-44cb9325e8ee">
      <Url>https://info.undp.org/docs/pdc/_layouts/DocIdRedir.aspx?ID=ATLASPDC-4-46485</Url>
      <Description>ATLASPDC-4-46485</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C09786DC-9421-4C8D-B94D-5EE2F21E21FF}"/>
</file>

<file path=customXml/itemProps2.xml><?xml version="1.0" encoding="utf-8"?>
<ds:datastoreItem xmlns:ds="http://schemas.openxmlformats.org/officeDocument/2006/customXml" ds:itemID="{1AC50FE2-A6F9-4BC4-A4CC-AE6180966330}"/>
</file>

<file path=customXml/itemProps3.xml><?xml version="1.0" encoding="utf-8"?>
<ds:datastoreItem xmlns:ds="http://schemas.openxmlformats.org/officeDocument/2006/customXml" ds:itemID="{630F00FA-467A-49FA-812B-3399FE42C3E4}"/>
</file>

<file path=customXml/itemProps4.xml><?xml version="1.0" encoding="utf-8"?>
<ds:datastoreItem xmlns:ds="http://schemas.openxmlformats.org/officeDocument/2006/customXml" ds:itemID="{952672A6-D50B-490F-A094-D0889D71E9C7}"/>
</file>

<file path=customXml/itemProps5.xml><?xml version="1.0" encoding="utf-8"?>
<ds:datastoreItem xmlns:ds="http://schemas.openxmlformats.org/officeDocument/2006/customXml" ds:itemID="{428C7656-6C31-443E-BFFC-D263A3B562A0}"/>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DGTTF Gender Mainstreaming in DGS Malawi LPAC approved</dc:title>
  <dc:subject/>
  <dc:creator>marius.walter</dc:creator>
  <cp:keywords/>
  <dcterms:created xsi:type="dcterms:W3CDTF">2016-03-22T11:30:07Z</dcterms:created>
  <dcterms:modified xsi:type="dcterms:W3CDTF">2016-03-22T11:30:07Z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1544;#MWI|b63a57e3-63ca-4463-a7bd-d18154366ee0</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
  </property>
  <property fmtid="{D5CDD505-2E9C-101B-9397-08002B2CF9AE}" pid="17" name="_dlc_DocIdItemGuid">
    <vt:lpwstr>d5761920-2344-40ca-99c7-dce729c2a1b9</vt:lpwstr>
  </property>
  <property fmtid="{D5CDD505-2E9C-101B-9397-08002B2CF9AE}" pid="18" name="URL">
    <vt:lpwstr/>
  </property>
  <property fmtid="{D5CDD505-2E9C-101B-9397-08002B2CF9AE}" pid="19" name="DocumentSetDescription">
    <vt:lpwstr/>
  </property>
</Properties>
</file>